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png" ContentType="image/png"/>
  <Override PartName="/word/media/image2.jpeg" ContentType="image/jpeg"/>
  <Override PartName="/word/media/image3.png" ContentType="image/png"/>
  <Override PartName="/word/media/image4.jpeg" ContentType="image/jpeg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Heading3"/>
        <w:tabs>
          <w:tab w:val="clear" w:pos="709"/>
          <w:tab w:val="left" w:pos="0" w:leader="none"/>
        </w:tabs>
        <w:spacing w:before="140" w:after="0"/>
        <w:ind w:hanging="0" w:left="0"/>
        <w:rPr/>
      </w:pPr>
      <w:r>
        <w:rPr>
          <w:rStyle w:val="Strong"/>
          <w:rFonts w:ascii="Times New Roman" w:hAnsi="Times New Roman"/>
          <w:b/>
          <w:bCs/>
          <w:sz w:val="24"/>
          <w:szCs w:val="24"/>
        </w:rPr>
        <w:t>Opis przedmiotu zamówienia (OPZ)</w:t>
      </w:r>
    </w:p>
    <w:p>
      <w:pPr>
        <w:pStyle w:val="Heading4"/>
        <w:tabs>
          <w:tab w:val="clear" w:pos="709"/>
          <w:tab w:val="left" w:pos="0" w:leader="none"/>
        </w:tabs>
        <w:spacing w:lineRule="auto" w:line="276" w:before="0" w:after="140"/>
        <w:ind w:hanging="0" w:left="0"/>
        <w:rPr/>
      </w:pPr>
      <w:r>
        <w:rPr>
          <w:rStyle w:val="Strong"/>
          <w:rFonts w:ascii="Times New Roman" w:hAnsi="Times New Roman"/>
          <w:b/>
          <w:bCs/>
        </w:rPr>
        <w:t>1. Nazwa zamówienia</w:t>
      </w:r>
    </w:p>
    <w:p>
      <w:pPr>
        <w:pStyle w:val="BodyText"/>
        <w:rPr/>
      </w:pPr>
      <w:r>
        <w:rPr>
          <w:rStyle w:val="Strong"/>
          <w:rFonts w:ascii="Times New Roman" w:hAnsi="Times New Roman"/>
        </w:rPr>
        <w:t>Opracowanie dokumentacji projektowo–kosztorysowej dla zadania inwestycyjnego pn.:</w:t>
      </w:r>
      <w:r>
        <w:rPr>
          <w:rStyle w:val="Domylnaczcionkaakapitu"/>
          <w:rFonts w:ascii="Times New Roman" w:hAnsi="Times New Roman"/>
        </w:rPr>
        <w:br/>
      </w:r>
      <w:r>
        <w:rPr>
          <w:rStyle w:val="Strong"/>
          <w:rFonts w:ascii="Times New Roman" w:hAnsi="Times New Roman"/>
        </w:rPr>
        <w:t>„Przebudowa, rozbudowa, nadbudowa oraz zmiana sposobu użytkowania budynku dawnej bożnicy w Brzostku na budynek użyteczności publicznej, społecznej, kulturalnej, administracyjnej. ”</w:t>
      </w:r>
    </w:p>
    <w:p>
      <w:pPr>
        <w:pStyle w:val="Heading4"/>
        <w:tabs>
          <w:tab w:val="clear" w:pos="709"/>
          <w:tab w:val="left" w:pos="0" w:leader="none"/>
        </w:tabs>
        <w:spacing w:lineRule="auto" w:line="276" w:before="0" w:after="140"/>
        <w:ind w:hanging="0" w:left="0"/>
        <w:rPr/>
      </w:pPr>
      <w:r>
        <w:rPr>
          <w:rStyle w:val="Strong"/>
          <w:rFonts w:ascii="Times New Roman" w:hAnsi="Times New Roman"/>
          <w:b/>
          <w:bCs/>
        </w:rPr>
        <w:t>2. Lokalizacja inwestycji</w:t>
      </w:r>
    </w:p>
    <w:p>
      <w:pPr>
        <w:pStyle w:val="BodyText"/>
        <w:rPr/>
      </w:pPr>
      <w:r>
        <w:rPr>
          <w:rStyle w:val="Domylnaczcionkaakapitu"/>
          <w:rFonts w:ascii="Times New Roman" w:hAnsi="Times New Roman"/>
        </w:rPr>
        <w:t xml:space="preserve">Przedmiot zamówienia dotyczy obiektu zlokalizowanego w miejscowości </w:t>
      </w:r>
      <w:r>
        <w:rPr>
          <w:rStyle w:val="Strong"/>
          <w:rFonts w:ascii="Times New Roman" w:hAnsi="Times New Roman"/>
        </w:rPr>
        <w:t>Brzostek, ul. Królowej Jadwigi, działka ewidencyjna nr 795, obręb Brzostek, gmina Brzostek, powiat dębicki, województwo podkarpackie</w:t>
      </w:r>
      <w:r>
        <w:rPr>
          <w:rStyle w:val="Domylnaczcionkaakapitu"/>
          <w:rFonts w:ascii="Times New Roman" w:hAnsi="Times New Roman"/>
        </w:rPr>
        <w:t>.</w:t>
        <w:br/>
        <w:t xml:space="preserve">Budynek znajduje się na terenie </w:t>
      </w:r>
      <w:r>
        <w:rPr>
          <w:rStyle w:val="Strong"/>
          <w:rFonts w:ascii="Times New Roman" w:hAnsi="Times New Roman"/>
        </w:rPr>
        <w:t>objętym opieką konserwatora zabytków</w:t>
      </w:r>
      <w:r>
        <w:rPr>
          <w:rStyle w:val="Domylnaczcionkaakapitu"/>
          <w:rFonts w:ascii="Times New Roman" w:hAnsi="Times New Roman"/>
        </w:rPr>
        <w:t xml:space="preserve"> oraz </w:t>
      </w:r>
      <w:r>
        <w:rPr>
          <w:rStyle w:val="Strong"/>
          <w:rFonts w:ascii="Times New Roman" w:hAnsi="Times New Roman"/>
        </w:rPr>
        <w:t>ujętym w gminnej ewidencji zabytków</w:t>
      </w:r>
      <w:r>
        <w:rPr>
          <w:rStyle w:val="Domylnaczcionkaakapitu"/>
          <w:rFonts w:ascii="Times New Roman" w:hAnsi="Times New Roman"/>
        </w:rPr>
        <w:t>.</w:t>
      </w:r>
    </w:p>
    <w:p>
      <w:pPr>
        <w:pStyle w:val="Heading4"/>
        <w:tabs>
          <w:tab w:val="clear" w:pos="709"/>
          <w:tab w:val="left" w:pos="0" w:leader="none"/>
        </w:tabs>
        <w:spacing w:lineRule="auto" w:line="276" w:before="0" w:after="140"/>
        <w:ind w:hanging="0" w:left="0"/>
        <w:rPr/>
      </w:pPr>
      <w:r>
        <w:rPr>
          <w:rStyle w:val="Strong"/>
          <w:rFonts w:ascii="Times New Roman" w:hAnsi="Times New Roman"/>
          <w:b/>
          <w:bCs/>
        </w:rPr>
        <w:t>3. Przedmiot zamówienia</w:t>
      </w:r>
    </w:p>
    <w:p>
      <w:pPr>
        <w:pStyle w:val="BodyText"/>
        <w:rPr>
          <w:rFonts w:ascii="Times New Roman" w:hAnsi="Times New Roman"/>
        </w:rPr>
      </w:pPr>
      <w:r>
        <w:rPr>
          <w:rFonts w:ascii="Times New Roman" w:hAnsi="Times New Roman"/>
        </w:rPr>
        <w:t>Przedmiotem zamówienia jest wykonanie pełnobranżowej dokumentacji projektowo–kosztorysowej wraz z uzyskaniem wszelkich wymaganych uzgodnień, opinii, decyzji administracyjnych oraz prawomocnego pozwolenia na budowę dla inwestycji obejmującej:</w:t>
      </w:r>
    </w:p>
    <w:p>
      <w:pPr>
        <w:pStyle w:val="BodyText"/>
        <w:numPr>
          <w:ilvl w:val="0"/>
          <w:numId w:val="2"/>
        </w:numPr>
        <w:rPr/>
      </w:pPr>
      <w:r>
        <w:rPr>
          <w:rStyle w:val="Strong"/>
          <w:rFonts w:ascii="Times New Roman" w:hAnsi="Times New Roman"/>
        </w:rPr>
        <w:t>przebudowę, rozbudowę, nadbudowę oraz zmianę sposobu użytkowania budynku dawnej bożnicy w Brzostku</w:t>
      </w:r>
      <w:r>
        <w:rPr>
          <w:rStyle w:val="Domylnaczcionkaakapitu"/>
          <w:rFonts w:ascii="Times New Roman" w:hAnsi="Times New Roman"/>
        </w:rPr>
        <w:t xml:space="preserve"> na obiekt o funkcji użyteczności </w:t>
      </w:r>
      <w:r>
        <w:rPr>
          <w:rStyle w:val="Strong"/>
          <w:rFonts w:ascii="Times New Roman" w:hAnsi="Times New Roman"/>
          <w:b w:val="false"/>
        </w:rPr>
        <w:t>publicznej, społecznej, kulturalnej, administracyjnej.</w:t>
      </w:r>
    </w:p>
    <w:p>
      <w:pPr>
        <w:pStyle w:val="BodyText"/>
        <w:numPr>
          <w:ilvl w:val="0"/>
          <w:numId w:val="2"/>
        </w:numPr>
        <w:rPr/>
      </w:pPr>
      <w:r>
        <w:rPr>
          <w:rStyle w:val="Strong"/>
          <w:rFonts w:ascii="Times New Roman" w:hAnsi="Times New Roman"/>
        </w:rPr>
        <w:t>prace restauratorskie i konserwatorskie</w:t>
      </w:r>
      <w:r>
        <w:rPr>
          <w:rStyle w:val="Domylnaczcionkaakapitu"/>
          <w:rFonts w:ascii="Times New Roman" w:hAnsi="Times New Roman"/>
        </w:rPr>
        <w:t xml:space="preserve"> z poszanowaniem oryginalnej substancji zabytkowej,</w:t>
      </w:r>
    </w:p>
    <w:p>
      <w:pPr>
        <w:pStyle w:val="BodyText"/>
        <w:numPr>
          <w:ilvl w:val="0"/>
          <w:numId w:val="2"/>
        </w:numPr>
        <w:rPr/>
      </w:pPr>
      <w:r>
        <w:rPr>
          <w:rStyle w:val="Strong"/>
          <w:rFonts w:ascii="Times New Roman" w:hAnsi="Times New Roman"/>
        </w:rPr>
        <w:t>dostosowanie obiektu do potrzeb osób z niepełnosprawnościami</w:t>
      </w:r>
      <w:r>
        <w:rPr>
          <w:rStyle w:val="Domylnaczcionkaakapitu"/>
          <w:rFonts w:ascii="Times New Roman" w:hAnsi="Times New Roman"/>
        </w:rPr>
        <w:t>.</w:t>
      </w:r>
    </w:p>
    <w:p>
      <w:pPr>
        <w:pStyle w:val="Heading4"/>
        <w:tabs>
          <w:tab w:val="clear" w:pos="709"/>
          <w:tab w:val="left" w:pos="0" w:leader="none"/>
        </w:tabs>
        <w:spacing w:lineRule="auto" w:line="276" w:before="0" w:after="140"/>
        <w:ind w:hanging="0" w:left="0"/>
        <w:rPr/>
      </w:pPr>
      <w:r>
        <w:rPr>
          <w:rStyle w:val="Strong"/>
          <w:rFonts w:ascii="Times New Roman" w:hAnsi="Times New Roman"/>
          <w:b/>
          <w:bCs/>
        </w:rPr>
        <w:t>4. Zakres opracowania dokumentacji</w:t>
      </w:r>
    </w:p>
    <w:p>
      <w:pPr>
        <w:pStyle w:val="BodyText"/>
        <w:rPr>
          <w:rFonts w:ascii="Times New Roman" w:hAnsi="Times New Roman"/>
        </w:rPr>
      </w:pPr>
      <w:r>
        <w:rPr>
          <w:rFonts w:ascii="Times New Roman" w:hAnsi="Times New Roman"/>
        </w:rPr>
        <w:t>Zakres obejmuje m.in.:</w:t>
      </w:r>
    </w:p>
    <w:p>
      <w:pPr>
        <w:pStyle w:val="BodyText"/>
        <w:numPr>
          <w:ilvl w:val="0"/>
          <w:numId w:val="3"/>
        </w:numPr>
        <w:rPr/>
      </w:pPr>
      <w:r>
        <w:rPr>
          <w:rStyle w:val="Domylnaczcionkaakapitu"/>
          <w:rFonts w:ascii="Times New Roman" w:hAnsi="Times New Roman"/>
        </w:rPr>
        <w:t xml:space="preserve">Wykonanie </w:t>
      </w:r>
      <w:r>
        <w:rPr>
          <w:rStyle w:val="Strong"/>
          <w:rFonts w:ascii="Times New Roman" w:hAnsi="Times New Roman"/>
        </w:rPr>
        <w:t>inwentaryzacji architektoniczno-budowlanej</w:t>
      </w:r>
      <w:r>
        <w:rPr>
          <w:rStyle w:val="Domylnaczcionkaakapitu"/>
          <w:rFonts w:ascii="Times New Roman" w:hAnsi="Times New Roman"/>
        </w:rPr>
        <w:t xml:space="preserve"> (pomiar rzeczywisty) – z uwagi na brak archiwalnej dokumentacji obiektu.</w:t>
      </w:r>
    </w:p>
    <w:p>
      <w:pPr>
        <w:pStyle w:val="BodyText"/>
        <w:numPr>
          <w:ilvl w:val="0"/>
          <w:numId w:val="3"/>
        </w:numPr>
        <w:rPr/>
      </w:pPr>
      <w:r>
        <w:rPr>
          <w:rStyle w:val="Domylnaczcionkaakapitu"/>
          <w:rFonts w:ascii="Times New Roman" w:hAnsi="Times New Roman"/>
        </w:rPr>
        <w:t xml:space="preserve">Opracowanie </w:t>
      </w:r>
      <w:r>
        <w:rPr>
          <w:rStyle w:val="Strong"/>
          <w:rFonts w:ascii="Times New Roman" w:hAnsi="Times New Roman"/>
        </w:rPr>
        <w:t>ekspertyzy technicznej</w:t>
      </w:r>
      <w:r>
        <w:rPr>
          <w:rStyle w:val="Domylnaczcionkaakapitu"/>
          <w:rFonts w:ascii="Times New Roman" w:hAnsi="Times New Roman"/>
        </w:rPr>
        <w:t xml:space="preserve"> stanu konstrukcji.</w:t>
      </w:r>
    </w:p>
    <w:p>
      <w:pPr>
        <w:pStyle w:val="BodyText"/>
        <w:numPr>
          <w:ilvl w:val="0"/>
          <w:numId w:val="3"/>
        </w:numPr>
        <w:rPr/>
      </w:pPr>
      <w:r>
        <w:rPr>
          <w:rStyle w:val="Domylnaczcionkaakapitu"/>
          <w:rFonts w:ascii="Times New Roman" w:hAnsi="Times New Roman"/>
        </w:rPr>
        <w:t xml:space="preserve">Opracowanie </w:t>
      </w:r>
      <w:r>
        <w:rPr>
          <w:rStyle w:val="Strong"/>
          <w:rFonts w:ascii="Times New Roman" w:hAnsi="Times New Roman"/>
        </w:rPr>
        <w:t>programu prac konserwatorskich i restauratorskich</w:t>
      </w:r>
      <w:r>
        <w:rPr>
          <w:rStyle w:val="Domylnaczcionkaakapitu"/>
          <w:rFonts w:ascii="Times New Roman" w:hAnsi="Times New Roman"/>
        </w:rPr>
        <w:t xml:space="preserve"> w uzgodnieniu z właściwym konserwatorem zabytków.</w:t>
      </w:r>
    </w:p>
    <w:p>
      <w:pPr>
        <w:pStyle w:val="BodyText"/>
        <w:numPr>
          <w:ilvl w:val="0"/>
          <w:numId w:val="3"/>
        </w:numPr>
        <w:rPr/>
      </w:pPr>
      <w:r>
        <w:rPr>
          <w:rStyle w:val="Domylnaczcionkaakapitu"/>
          <w:rFonts w:ascii="Times New Roman" w:hAnsi="Times New Roman"/>
        </w:rPr>
        <w:t xml:space="preserve">Opracowanie </w:t>
      </w:r>
      <w:r>
        <w:rPr>
          <w:rStyle w:val="Strong"/>
          <w:rFonts w:ascii="Times New Roman" w:hAnsi="Times New Roman"/>
        </w:rPr>
        <w:t>projektu budowlanego i wykonawczego</w:t>
      </w:r>
      <w:r>
        <w:rPr>
          <w:rStyle w:val="Domylnaczcionkaakapitu"/>
          <w:rFonts w:ascii="Times New Roman" w:hAnsi="Times New Roman"/>
        </w:rPr>
        <w:t xml:space="preserve"> obejmującego:</w:t>
      </w:r>
    </w:p>
    <w:p>
      <w:pPr>
        <w:pStyle w:val="BodyText"/>
        <w:numPr>
          <w:ilvl w:val="1"/>
          <w:numId w:val="3"/>
        </w:numPr>
        <w:rPr>
          <w:rFonts w:ascii="Times New Roman" w:hAnsi="Times New Roman"/>
        </w:rPr>
      </w:pPr>
      <w:r>
        <w:rPr>
          <w:rFonts w:ascii="Times New Roman" w:hAnsi="Times New Roman"/>
        </w:rPr>
        <w:t>branżę architektoniczno–budowlaną,</w:t>
      </w:r>
    </w:p>
    <w:p>
      <w:pPr>
        <w:pStyle w:val="BodyText"/>
        <w:numPr>
          <w:ilvl w:val="1"/>
          <w:numId w:val="3"/>
        </w:numPr>
        <w:rPr>
          <w:rFonts w:ascii="Times New Roman" w:hAnsi="Times New Roman"/>
        </w:rPr>
      </w:pPr>
      <w:r>
        <w:rPr>
          <w:rFonts w:ascii="Times New Roman" w:hAnsi="Times New Roman"/>
        </w:rPr>
        <w:t>konstrukcyjną,</w:t>
      </w:r>
    </w:p>
    <w:p>
      <w:pPr>
        <w:pStyle w:val="BodyText"/>
        <w:numPr>
          <w:ilvl w:val="1"/>
          <w:numId w:val="3"/>
        </w:numPr>
        <w:rPr>
          <w:rFonts w:ascii="Times New Roman" w:hAnsi="Times New Roman"/>
        </w:rPr>
      </w:pPr>
      <w:r>
        <w:rPr>
          <w:rFonts w:ascii="Times New Roman" w:hAnsi="Times New Roman"/>
        </w:rPr>
        <w:t>sanitarną (wod.–kan., c.o., wentylacja, klimatyzacja),</w:t>
      </w:r>
    </w:p>
    <w:p>
      <w:pPr>
        <w:pStyle w:val="BodyText"/>
        <w:numPr>
          <w:ilvl w:val="1"/>
          <w:numId w:val="3"/>
        </w:numPr>
        <w:rPr>
          <w:rFonts w:ascii="Times New Roman" w:hAnsi="Times New Roman"/>
        </w:rPr>
      </w:pPr>
      <w:r>
        <w:rPr>
          <w:rFonts w:ascii="Times New Roman" w:hAnsi="Times New Roman"/>
        </w:rPr>
        <w:t>elektryczną i teletechniczną,</w:t>
      </w:r>
    </w:p>
    <w:p>
      <w:pPr>
        <w:pStyle w:val="BodyText"/>
        <w:numPr>
          <w:ilvl w:val="1"/>
          <w:numId w:val="3"/>
        </w:numPr>
        <w:rPr>
          <w:rFonts w:ascii="Times New Roman" w:hAnsi="Times New Roman"/>
        </w:rPr>
      </w:pPr>
      <w:r>
        <w:rPr>
          <w:rFonts w:ascii="Times New Roman" w:hAnsi="Times New Roman"/>
        </w:rPr>
        <w:t>zagospodarowanie terenu (zieleń, mała architektura, dojścia, podjazdy).</w:t>
      </w:r>
    </w:p>
    <w:p>
      <w:pPr>
        <w:pStyle w:val="BodyText"/>
        <w:numPr>
          <w:ilvl w:val="0"/>
          <w:numId w:val="3"/>
        </w:numPr>
        <w:rPr/>
      </w:pPr>
      <w:r>
        <w:rPr>
          <w:rStyle w:val="Domylnaczcionkaakapitu"/>
          <w:rFonts w:ascii="Times New Roman" w:hAnsi="Times New Roman"/>
        </w:rPr>
        <w:t xml:space="preserve">Opracowanie </w:t>
      </w:r>
      <w:r>
        <w:rPr>
          <w:rStyle w:val="Strong"/>
          <w:rFonts w:ascii="Times New Roman" w:hAnsi="Times New Roman"/>
        </w:rPr>
        <w:t>kosztorysów inwestorskich, przedmiarów robót, STWiORB</w:t>
      </w:r>
      <w:r>
        <w:rPr>
          <w:rStyle w:val="Domylnaczcionkaakapitu"/>
          <w:rFonts w:ascii="Times New Roman" w:hAnsi="Times New Roman"/>
        </w:rPr>
        <w:t xml:space="preserve">, w wersjach papierowych po 2 egzemplarze oraz w wersji elektronicznej format PDF, DWG, ATH. </w:t>
      </w:r>
    </w:p>
    <w:p>
      <w:pPr>
        <w:pStyle w:val="BodyText"/>
        <w:numPr>
          <w:ilvl w:val="0"/>
          <w:numId w:val="3"/>
        </w:numPr>
        <w:rPr/>
      </w:pPr>
      <w:r>
        <w:rPr>
          <w:rStyle w:val="Domylnaczcionkaakapitu"/>
          <w:rFonts w:ascii="Times New Roman" w:hAnsi="Times New Roman"/>
        </w:rPr>
        <w:t xml:space="preserve">Uzyskanie </w:t>
      </w:r>
      <w:r>
        <w:rPr>
          <w:rStyle w:val="Strong"/>
          <w:rFonts w:ascii="Times New Roman" w:hAnsi="Times New Roman"/>
        </w:rPr>
        <w:t>wszystkich wymaganych opinii i uzgodnień</w:t>
      </w:r>
      <w:r>
        <w:rPr>
          <w:rStyle w:val="Domylnaczcionkaakapitu"/>
          <w:rFonts w:ascii="Times New Roman" w:hAnsi="Times New Roman"/>
        </w:rPr>
        <w:t>, w tym konserwatorskich, przeciwpożarowych, sanitarno–higienicznych, BHP, gestorów sieci itp.</w:t>
      </w:r>
    </w:p>
    <w:p>
      <w:pPr>
        <w:pStyle w:val="BodyText"/>
        <w:numPr>
          <w:ilvl w:val="0"/>
          <w:numId w:val="3"/>
        </w:numPr>
        <w:rPr/>
      </w:pPr>
      <w:r>
        <w:rPr>
          <w:rStyle w:val="Strong"/>
          <w:rFonts w:ascii="Times New Roman" w:hAnsi="Times New Roman"/>
        </w:rPr>
        <w:t>Uzyskanie prawomocnego pozwolenia na budowę</w:t>
      </w:r>
      <w:r>
        <w:rPr>
          <w:rStyle w:val="Domylnaczcionkaakapitu"/>
          <w:rFonts w:ascii="Times New Roman" w:hAnsi="Times New Roman"/>
        </w:rPr>
        <w:t xml:space="preserve"> w imieniu Zamawiającego.</w:t>
      </w:r>
    </w:p>
    <w:p>
      <w:pPr>
        <w:pStyle w:val="Heading4"/>
        <w:tabs>
          <w:tab w:val="clear" w:pos="709"/>
          <w:tab w:val="left" w:pos="0" w:leader="none"/>
        </w:tabs>
        <w:spacing w:lineRule="auto" w:line="276" w:before="0" w:after="140"/>
        <w:ind w:hanging="0" w:left="0"/>
        <w:rPr/>
      </w:pPr>
      <w:r>
        <w:rPr>
          <w:rStyle w:val="Strong"/>
          <w:rFonts w:ascii="Times New Roman" w:hAnsi="Times New Roman"/>
          <w:b/>
          <w:bCs/>
        </w:rPr>
        <w:t>5. Zakres funkcjonalno-użytkowy planowanej inwestycji</w:t>
      </w:r>
    </w:p>
    <w:p>
      <w:pPr>
        <w:pStyle w:val="BodyText"/>
        <w:rPr>
          <w:rFonts w:ascii="Times New Roman" w:hAnsi="Times New Roman"/>
        </w:rPr>
      </w:pPr>
      <w:r>
        <w:rPr>
          <w:rFonts w:ascii="Times New Roman" w:hAnsi="Times New Roman"/>
        </w:rPr>
        <w:t>W ramach planowanej inwestycji przewiduje się m.in.:</w:t>
      </w:r>
    </w:p>
    <w:p>
      <w:pPr>
        <w:pStyle w:val="BodyText"/>
        <w:numPr>
          <w:ilvl w:val="0"/>
          <w:numId w:val="4"/>
        </w:numPr>
        <w:rPr>
          <w:rFonts w:ascii="Times New Roman" w:hAnsi="Times New Roman"/>
        </w:rPr>
      </w:pPr>
      <w:r>
        <w:rPr>
          <w:rFonts w:ascii="Times New Roman" w:hAnsi="Times New Roman"/>
        </w:rPr>
        <w:t>rozbudowę i przebudowę budynku dawnej bożnicy,</w:t>
      </w:r>
    </w:p>
    <w:p>
      <w:pPr>
        <w:pStyle w:val="BodyText"/>
        <w:numPr>
          <w:ilvl w:val="0"/>
          <w:numId w:val="4"/>
        </w:numPr>
        <w:rPr>
          <w:rFonts w:ascii="Times New Roman" w:hAnsi="Times New Roman"/>
        </w:rPr>
      </w:pPr>
      <w:r>
        <w:rPr>
          <w:rFonts w:ascii="Times New Roman" w:hAnsi="Times New Roman"/>
        </w:rPr>
        <w:t>nadbudowę części obiektu,</w:t>
      </w:r>
    </w:p>
    <w:p>
      <w:pPr>
        <w:pStyle w:val="BodyText"/>
        <w:numPr>
          <w:ilvl w:val="0"/>
          <w:numId w:val="4"/>
        </w:numPr>
        <w:rPr>
          <w:rFonts w:ascii="Times New Roman" w:hAnsi="Times New Roman"/>
        </w:rPr>
      </w:pPr>
      <w:r>
        <w:rPr>
          <w:rFonts w:ascii="Times New Roman" w:hAnsi="Times New Roman"/>
        </w:rPr>
        <w:t>renowację i konserwację elewacji z odtworzeniem historycznych detali,</w:t>
      </w:r>
    </w:p>
    <w:p>
      <w:pPr>
        <w:pStyle w:val="BodyText"/>
        <w:numPr>
          <w:ilvl w:val="0"/>
          <w:numId w:val="4"/>
        </w:numPr>
        <w:rPr>
          <w:rFonts w:ascii="Times New Roman" w:hAnsi="Times New Roman"/>
        </w:rPr>
      </w:pPr>
      <w:r>
        <w:rPr>
          <w:rFonts w:ascii="Times New Roman" w:hAnsi="Times New Roman"/>
        </w:rPr>
        <w:t>wymianę lub konserwację stolarki okiennej i drzwiowej,</w:t>
      </w:r>
    </w:p>
    <w:p>
      <w:pPr>
        <w:pStyle w:val="BodyText"/>
        <w:numPr>
          <w:ilvl w:val="0"/>
          <w:numId w:val="4"/>
        </w:numPr>
        <w:rPr>
          <w:rFonts w:ascii="Times New Roman" w:hAnsi="Times New Roman"/>
        </w:rPr>
      </w:pPr>
      <w:r>
        <w:rPr>
          <w:rFonts w:ascii="Times New Roman" w:hAnsi="Times New Roman"/>
        </w:rPr>
        <w:t>prace zabezpieczające i wzmacniające konstrukcję budynku,</w:t>
      </w:r>
    </w:p>
    <w:p>
      <w:pPr>
        <w:pStyle w:val="BodyText"/>
        <w:numPr>
          <w:ilvl w:val="0"/>
          <w:numId w:val="4"/>
        </w:numPr>
        <w:rPr>
          <w:rFonts w:ascii="Times New Roman" w:hAnsi="Times New Roman"/>
        </w:rPr>
      </w:pPr>
      <w:r>
        <w:rPr>
          <w:rFonts w:ascii="Times New Roman" w:hAnsi="Times New Roman"/>
        </w:rPr>
        <w:t xml:space="preserve">remont, wymiana pokrycia dachowego z zastosowaniem materiałów zgodnych z historycznym charakterem obiektu, lub wykonanie nowego  dachu. </w:t>
      </w:r>
    </w:p>
    <w:p>
      <w:pPr>
        <w:pStyle w:val="BodyText"/>
        <w:numPr>
          <w:ilvl w:val="0"/>
          <w:numId w:val="4"/>
        </w:numPr>
        <w:rPr>
          <w:rFonts w:ascii="Times New Roman" w:hAnsi="Times New Roman"/>
        </w:rPr>
      </w:pPr>
      <w:r>
        <w:rPr>
          <w:rFonts w:ascii="Times New Roman" w:hAnsi="Times New Roman"/>
        </w:rPr>
        <w:t>wykonanie izolacji przeciwwilgociowej oraz drenażu opaskowego,</w:t>
      </w:r>
    </w:p>
    <w:p>
      <w:pPr>
        <w:pStyle w:val="BodyText"/>
        <w:numPr>
          <w:ilvl w:val="0"/>
          <w:numId w:val="4"/>
        </w:numPr>
        <w:rPr>
          <w:rFonts w:ascii="Times New Roman" w:hAnsi="Times New Roman"/>
        </w:rPr>
      </w:pPr>
      <w:r>
        <w:rPr>
          <w:rFonts w:ascii="Times New Roman" w:hAnsi="Times New Roman"/>
        </w:rPr>
        <w:t>remont pomieszczeń wewnętrznych z zachowaniem oryginalnych elementów (drewniane stropy, posadzki, sztukaterie),</w:t>
      </w:r>
    </w:p>
    <w:p>
      <w:pPr>
        <w:pStyle w:val="BodyText"/>
        <w:numPr>
          <w:ilvl w:val="0"/>
          <w:numId w:val="4"/>
        </w:numPr>
        <w:rPr>
          <w:rFonts w:ascii="Times New Roman" w:hAnsi="Times New Roman"/>
        </w:rPr>
      </w:pPr>
      <w:r>
        <w:rPr>
          <w:rFonts w:ascii="Times New Roman" w:hAnsi="Times New Roman"/>
        </w:rPr>
        <w:t>modernizację instalacji wewnętrznych z zachowaniem wymogów konserwatorskich,</w:t>
      </w:r>
    </w:p>
    <w:p>
      <w:pPr>
        <w:pStyle w:val="BodyText"/>
        <w:numPr>
          <w:ilvl w:val="0"/>
          <w:numId w:val="4"/>
        </w:numPr>
        <w:rPr>
          <w:rFonts w:ascii="Times New Roman" w:hAnsi="Times New Roman"/>
        </w:rPr>
      </w:pPr>
      <w:r>
        <w:rPr>
          <w:rFonts w:ascii="Times New Roman" w:hAnsi="Times New Roman"/>
        </w:rPr>
        <w:t>dostosowanie obiektu do standardów dostępności dla osób z niepełnosprawnościami (winda/podnośnik, sanitariaty, dojścia),</w:t>
      </w:r>
    </w:p>
    <w:p>
      <w:pPr>
        <w:pStyle w:val="BodyText"/>
        <w:numPr>
          <w:ilvl w:val="0"/>
          <w:numId w:val="4"/>
        </w:numPr>
        <w:rPr>
          <w:rFonts w:ascii="Times New Roman" w:hAnsi="Times New Roman"/>
        </w:rPr>
      </w:pPr>
      <w:r>
        <w:rPr>
          <w:rFonts w:ascii="Times New Roman" w:hAnsi="Times New Roman"/>
        </w:rPr>
        <w:t>wykonanie klatki schodowej ewakuacyjnej,</w:t>
      </w:r>
    </w:p>
    <w:p>
      <w:pPr>
        <w:pStyle w:val="BodyText"/>
        <w:numPr>
          <w:ilvl w:val="0"/>
          <w:numId w:val="4"/>
        </w:numPr>
        <w:rPr>
          <w:rFonts w:ascii="Times New Roman" w:hAnsi="Times New Roman"/>
        </w:rPr>
      </w:pPr>
      <w:r>
        <w:rPr>
          <w:rFonts w:ascii="Times New Roman" w:hAnsi="Times New Roman"/>
        </w:rPr>
        <w:t>zagospodarowanie terenu (zieleń, nasadzenia rodzimych gatunków drzew i krzewów, mała retencja – zbiorniki na wodę deszczową, zastosowanie OZE).</w:t>
      </w:r>
    </w:p>
    <w:p>
      <w:pPr>
        <w:pStyle w:val="BodyText"/>
        <w:numPr>
          <w:ilvl w:val="0"/>
          <w:numId w:val="4"/>
        </w:numPr>
        <w:rPr>
          <w:rFonts w:ascii="Times New Roman" w:hAnsi="Times New Roman"/>
        </w:rPr>
      </w:pPr>
      <w:r>
        <w:rPr>
          <w:rFonts w:ascii="Times New Roman" w:hAnsi="Times New Roman"/>
        </w:rPr>
        <w:t xml:space="preserve">Wykonanie pomieszczeń do przygotowania posiłków. </w:t>
      </w:r>
    </w:p>
    <w:p>
      <w:pPr>
        <w:pStyle w:val="Heading4"/>
        <w:tabs>
          <w:tab w:val="clear" w:pos="709"/>
          <w:tab w:val="left" w:pos="0" w:leader="none"/>
        </w:tabs>
        <w:spacing w:lineRule="auto" w:line="276" w:before="0" w:after="140"/>
        <w:ind w:hanging="0" w:left="0"/>
        <w:rPr/>
      </w:pPr>
      <w:r>
        <w:rPr>
          <w:rStyle w:val="Strong"/>
          <w:rFonts w:ascii="Times New Roman" w:hAnsi="Times New Roman"/>
          <w:b/>
          <w:bCs/>
        </w:rPr>
        <w:t>6. Wymagania konserwatorskie</w:t>
      </w:r>
    </w:p>
    <w:p>
      <w:pPr>
        <w:pStyle w:val="BodyText"/>
        <w:numPr>
          <w:ilvl w:val="0"/>
          <w:numId w:val="5"/>
        </w:numPr>
        <w:rPr/>
      </w:pPr>
      <w:r>
        <w:rPr>
          <w:rStyle w:val="Domylnaczcionkaakapitu"/>
          <w:rFonts w:ascii="Times New Roman" w:hAnsi="Times New Roman"/>
        </w:rPr>
        <w:t xml:space="preserve">Całość opracowania musi być uzgadniana z właściwym </w:t>
      </w:r>
      <w:r>
        <w:rPr>
          <w:rStyle w:val="Strong"/>
          <w:rFonts w:ascii="Times New Roman" w:hAnsi="Times New Roman"/>
        </w:rPr>
        <w:t>konserwatorem zabytków</w:t>
      </w:r>
      <w:r>
        <w:rPr>
          <w:rStyle w:val="Domylnaczcionkaakapitu"/>
          <w:rFonts w:ascii="Times New Roman" w:hAnsi="Times New Roman"/>
        </w:rPr>
        <w:t>.</w:t>
      </w:r>
    </w:p>
    <w:p>
      <w:pPr>
        <w:pStyle w:val="BodyText"/>
        <w:numPr>
          <w:ilvl w:val="0"/>
          <w:numId w:val="5"/>
        </w:numPr>
        <w:rPr/>
      </w:pPr>
      <w:r>
        <w:rPr>
          <w:rStyle w:val="Domylnaczcionkaakapitu"/>
          <w:rFonts w:ascii="Times New Roman" w:hAnsi="Times New Roman"/>
        </w:rPr>
        <w:t xml:space="preserve">Wygląd i forma elewacji, detale architektoniczne oraz materiały budowlane muszą być </w:t>
      </w:r>
      <w:r>
        <w:rPr>
          <w:rStyle w:val="Strong"/>
          <w:rFonts w:ascii="Times New Roman" w:hAnsi="Times New Roman"/>
        </w:rPr>
        <w:t>zatwierdzone przez konserwatora zabytków</w:t>
      </w:r>
      <w:r>
        <w:rPr>
          <w:rStyle w:val="Domylnaczcionkaakapitu"/>
          <w:rFonts w:ascii="Times New Roman" w:hAnsi="Times New Roman"/>
        </w:rPr>
        <w:t>.</w:t>
      </w:r>
    </w:p>
    <w:p>
      <w:pPr>
        <w:pStyle w:val="BodyText"/>
        <w:numPr>
          <w:ilvl w:val="0"/>
          <w:numId w:val="5"/>
        </w:numPr>
        <w:rPr>
          <w:rFonts w:ascii="Times New Roman" w:hAnsi="Times New Roman"/>
        </w:rPr>
      </w:pPr>
      <w:r>
        <w:rPr>
          <w:rFonts w:ascii="Times New Roman" w:hAnsi="Times New Roman"/>
        </w:rPr>
        <w:t>Wszystkie rozwiązania projektowe muszą uwzględniać zachowanie oryginalnej struktury, detali architektonicznych i materiałów historycznych.</w:t>
      </w:r>
    </w:p>
    <w:p>
      <w:pPr>
        <w:pStyle w:val="Heading4"/>
        <w:tabs>
          <w:tab w:val="clear" w:pos="709"/>
          <w:tab w:val="left" w:pos="0" w:leader="none"/>
        </w:tabs>
        <w:spacing w:lineRule="auto" w:line="276" w:before="0" w:after="140"/>
        <w:ind w:hanging="0" w:left="0"/>
        <w:rPr/>
      </w:pPr>
      <w:r>
        <w:rPr>
          <w:rStyle w:val="Strong"/>
          <w:rFonts w:ascii="Times New Roman" w:hAnsi="Times New Roman"/>
          <w:b/>
          <w:bCs/>
        </w:rPr>
        <w:t>7. Wymagania dotyczące dostępności</w:t>
      </w:r>
    </w:p>
    <w:p>
      <w:pPr>
        <w:pStyle w:val="BodyText"/>
        <w:rPr/>
      </w:pPr>
      <w:r>
        <w:rPr>
          <w:rStyle w:val="Domylnaczcionkaakapitu"/>
          <w:rFonts w:ascii="Times New Roman" w:hAnsi="Times New Roman"/>
        </w:rPr>
        <w:t xml:space="preserve">Projekt musi przewidywać pełne </w:t>
      </w:r>
      <w:r>
        <w:rPr>
          <w:rStyle w:val="Strong"/>
          <w:rFonts w:ascii="Times New Roman" w:hAnsi="Times New Roman"/>
        </w:rPr>
        <w:t>przystosowanie obiektu dla osób z niepełnosprawnościami</w:t>
      </w:r>
      <w:r>
        <w:rPr>
          <w:rStyle w:val="Domylnaczcionkaakapitu"/>
          <w:rFonts w:ascii="Times New Roman" w:hAnsi="Times New Roman"/>
        </w:rPr>
        <w:t>, zgodnie z obowiązującymi przepisami i wytycznymi (m.in. zapewnienie dostępności komunikacyjnej, windy, podjazdów, sanitariatów).</w:t>
      </w:r>
    </w:p>
    <w:p>
      <w:pPr>
        <w:pStyle w:val="Heading4"/>
        <w:tabs>
          <w:tab w:val="clear" w:pos="709"/>
          <w:tab w:val="left" w:pos="0" w:leader="none"/>
        </w:tabs>
        <w:spacing w:lineRule="auto" w:line="276" w:before="0" w:after="140"/>
        <w:ind w:hanging="0" w:left="0"/>
        <w:rPr/>
      </w:pPr>
      <w:r>
        <w:rPr>
          <w:rStyle w:val="Strong"/>
          <w:rFonts w:ascii="Times New Roman" w:hAnsi="Times New Roman"/>
          <w:b/>
          <w:bCs/>
        </w:rPr>
        <w:t>8. Wymagania formalne dotyczące dokumentacji</w:t>
      </w:r>
    </w:p>
    <w:p>
      <w:pPr>
        <w:pStyle w:val="BodyText"/>
        <w:numPr>
          <w:ilvl w:val="0"/>
          <w:numId w:val="6"/>
        </w:numPr>
        <w:rPr/>
      </w:pPr>
      <w:r>
        <w:rPr>
          <w:rStyle w:val="Domylnaczcionkaakapitu"/>
          <w:rFonts w:ascii="Times New Roman" w:hAnsi="Times New Roman"/>
        </w:rPr>
        <w:t xml:space="preserve">Dokumentacja ma być opracowana </w:t>
      </w:r>
      <w:r>
        <w:rPr/>
        <w:t xml:space="preserve"> </w:t>
      </w:r>
      <w:r>
        <w:rPr>
          <w:rStyle w:val="Pogrubienie"/>
        </w:rPr>
        <w:t>trzy egzemplarze projektu zagospodarowania działki lub terenu</w:t>
      </w:r>
      <w:r>
        <w:rPr/>
        <w:t xml:space="preserve">, </w:t>
      </w:r>
      <w:r>
        <w:rPr>
          <w:rStyle w:val="Pogrubienie"/>
        </w:rPr>
        <w:t>trzy egzemplarze projektu architektoniczno-budowlanego</w:t>
      </w:r>
      <w:r>
        <w:rPr/>
        <w:t xml:space="preserve">, projekt techniczny w </w:t>
      </w:r>
      <w:r>
        <w:rPr>
          <w:rStyle w:val="Pogrubienie"/>
        </w:rPr>
        <w:t>trzech egzemplarzach</w:t>
      </w:r>
      <w:r>
        <w:rPr>
          <w:rStyle w:val="Domylnaczcionkaakapitu"/>
          <w:rFonts w:ascii="Times New Roman" w:hAnsi="Times New Roman"/>
        </w:rPr>
        <w:t xml:space="preserve"> oraz w </w:t>
      </w:r>
      <w:r>
        <w:rPr>
          <w:rStyle w:val="Strong"/>
          <w:rFonts w:ascii="Times New Roman" w:hAnsi="Times New Roman"/>
        </w:rPr>
        <w:t>wersji elektronicznej</w:t>
      </w:r>
      <w:r>
        <w:rPr>
          <w:rStyle w:val="Domylnaczcionkaakapitu"/>
          <w:rFonts w:ascii="Times New Roman" w:hAnsi="Times New Roman"/>
        </w:rPr>
        <w:t xml:space="preserve"> (formaty: *.pdf, *.dwg, *.ath, </w:t>
      </w:r>
      <w:r>
        <w:rPr>
          <w:rStyle w:val="Uwydatnienie"/>
          <w:rFonts w:ascii="Times New Roman" w:hAnsi="Times New Roman"/>
        </w:rPr>
        <w:t>.xls</w:t>
      </w:r>
      <w:r>
        <w:rPr>
          <w:rStyle w:val="Domylnaczcionkaakapitu"/>
          <w:rFonts w:ascii="Times New Roman" w:hAnsi="Times New Roman"/>
        </w:rPr>
        <w:t>).</w:t>
      </w:r>
    </w:p>
    <w:p>
      <w:pPr>
        <w:pStyle w:val="BodyText"/>
        <w:numPr>
          <w:ilvl w:val="0"/>
          <w:numId w:val="6"/>
        </w:numPr>
        <w:rPr>
          <w:rFonts w:ascii="Times New Roman" w:hAnsi="Times New Roman"/>
        </w:rPr>
      </w:pPr>
      <w:r>
        <w:rPr>
          <w:rFonts w:ascii="Times New Roman" w:hAnsi="Times New Roman"/>
        </w:rPr>
        <w:t>Dokumentacja powinna zawierać wszystkie elementy niezbędne do przeprowadzenia postępowania o udzielenie zamówienia publicznego na roboty budowlane.</w:t>
      </w:r>
    </w:p>
    <w:p>
      <w:pPr>
        <w:pStyle w:val="BodyText"/>
        <w:numPr>
          <w:ilvl w:val="0"/>
          <w:numId w:val="6"/>
        </w:numPr>
        <w:rPr>
          <w:rFonts w:ascii="Times New Roman" w:hAnsi="Times New Roman"/>
        </w:rPr>
      </w:pPr>
      <w:r>
        <w:rPr>
          <w:rFonts w:ascii="Times New Roman" w:hAnsi="Times New Roman"/>
        </w:rPr>
        <w:t>Wykonawca zobowiązany jest do udziału w uzgodnieniach z Zamawiającym, konserwatorem zabytków i innymi instytucjami.</w:t>
      </w:r>
    </w:p>
    <w:p>
      <w:pPr>
        <w:pStyle w:val="BodyText"/>
        <w:numPr>
          <w:ilvl w:val="0"/>
          <w:numId w:val="6"/>
        </w:numPr>
        <w:rPr>
          <w:rFonts w:ascii="Times New Roman" w:hAnsi="Times New Roman"/>
        </w:rPr>
      </w:pPr>
      <w:r>
        <w:rPr>
          <w:rFonts w:ascii="Times New Roman" w:hAnsi="Times New Roman"/>
        </w:rPr>
        <w:t>Wykonawca zapewni nadzór autorski w trakcie procedury uzyskiwania pozwolenia na budowę.</w:t>
      </w:r>
    </w:p>
    <w:p>
      <w:pPr>
        <w:pStyle w:val="Heading4"/>
        <w:tabs>
          <w:tab w:val="clear" w:pos="709"/>
          <w:tab w:val="left" w:pos="0" w:leader="none"/>
        </w:tabs>
        <w:spacing w:lineRule="auto" w:line="276" w:before="0" w:after="140"/>
        <w:ind w:hanging="0" w:left="0"/>
        <w:rPr/>
      </w:pPr>
      <w:r>
        <w:rPr>
          <w:rStyle w:val="Strong"/>
          <w:rFonts w:ascii="Times New Roman" w:hAnsi="Times New Roman"/>
          <w:b/>
          <w:bCs/>
        </w:rPr>
        <w:t>9. Wymagania wobec Wykonawcy</w:t>
      </w:r>
    </w:p>
    <w:p>
      <w:pPr>
        <w:pStyle w:val="BodyText"/>
        <w:numPr>
          <w:ilvl w:val="0"/>
          <w:numId w:val="7"/>
        </w:numPr>
        <w:rPr>
          <w:rFonts w:ascii="Times New Roman" w:hAnsi="Times New Roman"/>
        </w:rPr>
      </w:pPr>
      <w:r>
        <w:rPr>
          <w:rFonts w:ascii="Times New Roman" w:hAnsi="Times New Roman"/>
        </w:rPr>
        <w:t>Wykonawca musi posiadać doświadczenie w opracowywaniu dokumentacji projektowej dla obiektów zabytkowych lub objętych ochroną konserwatorską.</w:t>
      </w:r>
    </w:p>
    <w:p>
      <w:pPr>
        <w:pStyle w:val="BodyText"/>
        <w:numPr>
          <w:ilvl w:val="0"/>
          <w:numId w:val="7"/>
        </w:numPr>
        <w:rPr>
          <w:rFonts w:ascii="Times New Roman" w:hAnsi="Times New Roman"/>
        </w:rPr>
      </w:pPr>
      <w:r>
        <w:rPr>
          <w:rFonts w:ascii="Times New Roman" w:hAnsi="Times New Roman"/>
        </w:rPr>
        <w:t>W skład zespołu projektowego powinni wchodzić:</w:t>
      </w:r>
    </w:p>
    <w:p>
      <w:pPr>
        <w:pStyle w:val="BodyText"/>
        <w:numPr>
          <w:ilvl w:val="1"/>
          <w:numId w:val="7"/>
        </w:numPr>
        <w:rPr>
          <w:rFonts w:ascii="Times New Roman" w:hAnsi="Times New Roman"/>
        </w:rPr>
      </w:pPr>
      <w:r>
        <w:rPr>
          <w:rFonts w:ascii="Times New Roman" w:hAnsi="Times New Roman"/>
        </w:rPr>
        <w:t>projektant z uprawnieniami budowlanymi do projektowania bez ograniczeń w specjalności architektonicznej,</w:t>
      </w:r>
    </w:p>
    <w:p>
      <w:pPr>
        <w:pStyle w:val="BodyText"/>
        <w:numPr>
          <w:ilvl w:val="1"/>
          <w:numId w:val="7"/>
        </w:numPr>
        <w:rPr>
          <w:rFonts w:ascii="Times New Roman" w:hAnsi="Times New Roman"/>
        </w:rPr>
      </w:pPr>
      <w:r>
        <w:rPr>
          <w:rFonts w:ascii="Times New Roman" w:hAnsi="Times New Roman"/>
        </w:rPr>
        <w:t>projektant branży konstrukcyjnej, sanitarnej, elektrycznej,</w:t>
      </w:r>
    </w:p>
    <w:p>
      <w:pPr>
        <w:pStyle w:val="BodyText"/>
        <w:numPr>
          <w:ilvl w:val="0"/>
          <w:numId w:val="7"/>
        </w:numPr>
        <w:rPr>
          <w:rFonts w:ascii="Times New Roman" w:hAnsi="Times New Roman"/>
        </w:rPr>
      </w:pPr>
      <w:r>
        <w:rPr>
          <w:rFonts w:ascii="Times New Roman" w:hAnsi="Times New Roman"/>
        </w:rPr>
        <w:t>Wykonawca zobowiązany jest do przedstawienia koncepcji wstępnej do akceptacji Zamawiającego przed przystąpieniem do opracowania projektu budowlanego.</w:t>
      </w:r>
    </w:p>
    <w:p>
      <w:pPr>
        <w:pStyle w:val="Heading4"/>
        <w:tabs>
          <w:tab w:val="clear" w:pos="709"/>
          <w:tab w:val="left" w:pos="0" w:leader="none"/>
        </w:tabs>
        <w:spacing w:lineRule="auto" w:line="276" w:before="0" w:after="140"/>
        <w:ind w:hanging="0" w:left="0"/>
        <w:rPr/>
      </w:pPr>
      <w:r>
        <w:rPr>
          <w:rStyle w:val="Strong"/>
          <w:rFonts w:ascii="Times New Roman" w:hAnsi="Times New Roman"/>
          <w:b/>
          <w:bCs/>
        </w:rPr>
        <w:t>10. Termin realizacji</w:t>
      </w:r>
    </w:p>
    <w:p>
      <w:pPr>
        <w:pStyle w:val="BodyText"/>
        <w:rPr/>
      </w:pPr>
      <w:r>
        <w:rPr>
          <w:rStyle w:val="Domylnaczcionkaakapitu"/>
          <w:rFonts w:ascii="Times New Roman" w:hAnsi="Times New Roman"/>
        </w:rPr>
        <w:t>Termin wykonania dokumentacji projektowo–kosztorysowej wraz z uzyskaniem prawomocnego pozwolenia na budowę</w:t>
      </w:r>
      <w:r>
        <w:rPr>
          <w:rStyle w:val="Domylnaczcionkaakapitu"/>
          <w:rFonts w:ascii="Times New Roman" w:hAnsi="Times New Roman"/>
          <w:color w:val="FF0000"/>
        </w:rPr>
        <w:t xml:space="preserve"> </w:t>
      </w:r>
      <w:r>
        <w:rPr>
          <w:rStyle w:val="Domylnaczcionkaakapitu"/>
          <w:rFonts w:ascii="Times New Roman" w:hAnsi="Times New Roman"/>
          <w:color w:val="000000"/>
        </w:rPr>
        <w:t xml:space="preserve">– </w:t>
      </w:r>
      <w:r>
        <w:rPr>
          <w:rStyle w:val="Strong"/>
          <w:rFonts w:ascii="Times New Roman" w:hAnsi="Times New Roman"/>
          <w:color w:val="000000"/>
        </w:rPr>
        <w:t xml:space="preserve">do </w:t>
      </w:r>
      <w:r>
        <w:rPr>
          <w:rStyle w:val="Strong"/>
          <w:rFonts w:ascii="Times New Roman" w:hAnsi="Times New Roman"/>
          <w:color w:val="000000"/>
        </w:rPr>
        <w:t>12</w:t>
      </w:r>
      <w:r>
        <w:rPr>
          <w:rStyle w:val="Strong"/>
          <w:rFonts w:ascii="Times New Roman" w:hAnsi="Times New Roman"/>
          <w:color w:val="000000"/>
        </w:rPr>
        <w:t xml:space="preserve"> miesięcy od dnia podpisania umowy</w:t>
      </w:r>
      <w:r>
        <w:rPr>
          <w:rStyle w:val="Domylnaczcionkaakapitu"/>
          <w:rFonts w:ascii="Times New Roman" w:hAnsi="Times New Roman"/>
          <w:color w:val="000000"/>
        </w:rPr>
        <w:t>.</w:t>
      </w:r>
      <w:r>
        <w:rPr>
          <w:rStyle w:val="Domylnaczcionkaakapitu"/>
          <w:rFonts w:ascii="Times New Roman" w:hAnsi="Times New Roman"/>
        </w:rPr>
        <w:br/>
        <w:t>Terminy pośrednie:</w:t>
      </w:r>
    </w:p>
    <w:p>
      <w:pPr>
        <w:pStyle w:val="Normal"/>
        <w:widowControl w:val="false"/>
        <w:numPr>
          <w:ilvl w:val="0"/>
          <w:numId w:val="8"/>
        </w:numPr>
        <w:autoSpaceDE w:val="false"/>
        <w:spacing w:before="120" w:after="0"/>
        <w:ind w:hanging="349" w:left="709" w:right="0"/>
        <w:rPr>
          <w:b w:val="false"/>
          <w:bCs w:val="false"/>
          <w:color w:val="000000"/>
        </w:rPr>
      </w:pPr>
      <w:r>
        <w:rPr>
          <w:b w:val="false"/>
          <w:bCs w:val="false"/>
          <w:color w:val="000000"/>
          <w:kern w:val="0"/>
          <w:sz w:val="24"/>
          <w:szCs w:val="24"/>
        </w:rPr>
        <w:t>koncepcja wraz z uproszczonym opisem technicznym</w:t>
      </w:r>
      <w:r>
        <w:rPr>
          <w:b w:val="false"/>
          <w:bCs w:val="false"/>
          <w:color w:val="000000"/>
          <w:kern w:val="0"/>
          <w:sz w:val="24"/>
          <w:szCs w:val="24"/>
        </w:rPr>
        <w:t xml:space="preserve"> – do </w:t>
      </w:r>
      <w:r>
        <w:rPr>
          <w:b w:val="false"/>
          <w:bCs w:val="false"/>
          <w:color w:val="000000"/>
          <w:kern w:val="0"/>
          <w:sz w:val="24"/>
          <w:szCs w:val="24"/>
        </w:rPr>
        <w:t>30</w:t>
      </w:r>
      <w:r>
        <w:rPr>
          <w:b w:val="false"/>
          <w:bCs w:val="false"/>
          <w:color w:val="000000"/>
          <w:kern w:val="0"/>
          <w:sz w:val="24"/>
          <w:szCs w:val="24"/>
        </w:rPr>
        <w:t xml:space="preserve"> </w:t>
      </w:r>
      <w:r>
        <w:rPr>
          <w:b w:val="false"/>
          <w:bCs w:val="false"/>
          <w:color w:val="000000"/>
          <w:kern w:val="0"/>
          <w:sz w:val="24"/>
          <w:szCs w:val="24"/>
        </w:rPr>
        <w:t>grudnia</w:t>
      </w:r>
      <w:r>
        <w:rPr>
          <w:b w:val="false"/>
          <w:bCs w:val="false"/>
          <w:color w:val="000000"/>
          <w:kern w:val="0"/>
          <w:sz w:val="24"/>
          <w:szCs w:val="24"/>
        </w:rPr>
        <w:t xml:space="preserve"> 2025 r.</w:t>
      </w:r>
    </w:p>
    <w:p>
      <w:pPr>
        <w:pStyle w:val="Normal"/>
        <w:widowControl w:val="false"/>
        <w:numPr>
          <w:ilvl w:val="0"/>
          <w:numId w:val="8"/>
        </w:numPr>
        <w:autoSpaceDE w:val="false"/>
        <w:spacing w:before="120" w:after="0"/>
        <w:ind w:hanging="349" w:left="709" w:right="0"/>
        <w:rPr>
          <w:b w:val="false"/>
          <w:bCs w:val="false"/>
          <w:color w:val="000000"/>
        </w:rPr>
      </w:pPr>
      <w:r>
        <w:rPr>
          <w:b w:val="false"/>
          <w:bCs w:val="false"/>
          <w:color w:val="000000"/>
          <w:kern w:val="0"/>
          <w:sz w:val="24"/>
          <w:szCs w:val="24"/>
        </w:rPr>
        <w:t>kompletna dokumentacja w celu uzyskania pozwolenia na budowę</w:t>
      </w:r>
      <w:r>
        <w:rPr>
          <w:b w:val="false"/>
          <w:bCs w:val="false"/>
          <w:color w:val="000000"/>
          <w:kern w:val="0"/>
          <w:sz w:val="24"/>
          <w:szCs w:val="24"/>
        </w:rPr>
        <w:t xml:space="preserve"> – do </w:t>
      </w:r>
      <w:r>
        <w:rPr>
          <w:b w:val="false"/>
          <w:bCs w:val="false"/>
          <w:color w:val="000000"/>
          <w:kern w:val="0"/>
          <w:sz w:val="24"/>
          <w:szCs w:val="24"/>
        </w:rPr>
        <w:t>31</w:t>
      </w:r>
      <w:r>
        <w:rPr>
          <w:b w:val="false"/>
          <w:bCs w:val="false"/>
          <w:color w:val="000000"/>
          <w:kern w:val="0"/>
          <w:sz w:val="24"/>
          <w:szCs w:val="24"/>
        </w:rPr>
        <w:t xml:space="preserve"> </w:t>
      </w:r>
      <w:r>
        <w:rPr>
          <w:b w:val="false"/>
          <w:bCs w:val="false"/>
          <w:color w:val="000000"/>
          <w:kern w:val="0"/>
          <w:sz w:val="24"/>
          <w:szCs w:val="24"/>
        </w:rPr>
        <w:t>lipca</w:t>
      </w:r>
      <w:r>
        <w:rPr>
          <w:b w:val="false"/>
          <w:bCs w:val="false"/>
          <w:color w:val="000000"/>
          <w:kern w:val="0"/>
          <w:sz w:val="24"/>
          <w:szCs w:val="24"/>
        </w:rPr>
        <w:t xml:space="preserve"> 202</w:t>
      </w:r>
      <w:r>
        <w:rPr>
          <w:b w:val="false"/>
          <w:bCs w:val="false"/>
          <w:color w:val="000000"/>
          <w:kern w:val="0"/>
          <w:sz w:val="24"/>
          <w:szCs w:val="24"/>
        </w:rPr>
        <w:t>6</w:t>
      </w:r>
      <w:r>
        <w:rPr>
          <w:b w:val="false"/>
          <w:bCs w:val="false"/>
          <w:color w:val="000000"/>
          <w:kern w:val="0"/>
          <w:sz w:val="24"/>
          <w:szCs w:val="24"/>
        </w:rPr>
        <w:t xml:space="preserve"> r.</w:t>
      </w:r>
    </w:p>
    <w:p>
      <w:pPr>
        <w:pStyle w:val="Normal"/>
        <w:widowControl w:val="false"/>
        <w:numPr>
          <w:ilvl w:val="0"/>
          <w:numId w:val="8"/>
        </w:numPr>
        <w:autoSpaceDE w:val="false"/>
        <w:spacing w:before="120" w:after="0"/>
        <w:ind w:hanging="349" w:left="709" w:right="0"/>
        <w:rPr>
          <w:b w:val="false"/>
          <w:bCs w:val="false"/>
          <w:color w:val="000000"/>
          <w:kern w:val="0"/>
          <w:sz w:val="24"/>
          <w:szCs w:val="24"/>
        </w:rPr>
      </w:pPr>
      <w:r>
        <w:rPr>
          <w:b w:val="false"/>
          <w:bCs w:val="false"/>
          <w:color w:val="000000"/>
          <w:kern w:val="0"/>
          <w:sz w:val="24"/>
          <w:szCs w:val="24"/>
        </w:rPr>
        <w:t>dokumentacja techniczna – 12 miesięcy od podpisania umowy</w:t>
      </w:r>
    </w:p>
    <w:p>
      <w:pPr>
        <w:pStyle w:val="Normal"/>
        <w:widowControl w:val="false"/>
        <w:numPr>
          <w:ilvl w:val="0"/>
          <w:numId w:val="0"/>
        </w:numPr>
        <w:autoSpaceDE w:val="false"/>
        <w:spacing w:before="120" w:after="0"/>
        <w:ind w:hanging="0" w:left="709" w:right="0"/>
        <w:rPr>
          <w:b w:val="false"/>
          <w:bCs w:val="false"/>
          <w:color w:val="000000"/>
          <w:kern w:val="0"/>
          <w:sz w:val="24"/>
          <w:szCs w:val="24"/>
        </w:rPr>
      </w:pPr>
      <w:r>
        <w:rPr>
          <w:b w:val="false"/>
          <w:bCs w:val="false"/>
          <w:color w:val="000000"/>
          <w:kern w:val="0"/>
          <w:sz w:val="24"/>
          <w:szCs w:val="24"/>
        </w:rPr>
      </w:r>
    </w:p>
    <w:p>
      <w:pPr>
        <w:pStyle w:val="Heading4"/>
        <w:tabs>
          <w:tab w:val="clear" w:pos="709"/>
          <w:tab w:val="left" w:pos="0" w:leader="none"/>
        </w:tabs>
        <w:spacing w:lineRule="auto" w:line="276" w:before="0" w:after="140"/>
        <w:ind w:hanging="0" w:left="0"/>
        <w:rPr/>
      </w:pPr>
      <w:r>
        <w:rPr>
          <w:rStyle w:val="Strong"/>
          <w:rFonts w:ascii="Times New Roman" w:hAnsi="Times New Roman"/>
          <w:b/>
          <w:bCs/>
        </w:rPr>
        <w:t>11. Warunki odbioru dokumentacji</w:t>
      </w:r>
    </w:p>
    <w:p>
      <w:pPr>
        <w:pStyle w:val="BodyText"/>
        <w:numPr>
          <w:ilvl w:val="0"/>
          <w:numId w:val="9"/>
        </w:numPr>
        <w:rPr>
          <w:rFonts w:ascii="Times New Roman" w:hAnsi="Times New Roman"/>
        </w:rPr>
      </w:pPr>
      <w:r>
        <w:rPr>
          <w:rFonts w:ascii="Times New Roman" w:hAnsi="Times New Roman"/>
        </w:rPr>
        <w:t>Odbiór dokumentacji nastąpi po dostarczeniu kompletu opracowań w wersji papierowej i elektronicznej.</w:t>
      </w:r>
    </w:p>
    <w:p>
      <w:pPr>
        <w:pStyle w:val="BodyText"/>
        <w:numPr>
          <w:ilvl w:val="0"/>
          <w:numId w:val="9"/>
        </w:numPr>
        <w:rPr>
          <w:rFonts w:ascii="Times New Roman" w:hAnsi="Times New Roman"/>
        </w:rPr>
      </w:pPr>
      <w:r>
        <w:rPr>
          <w:rFonts w:ascii="Times New Roman" w:hAnsi="Times New Roman"/>
        </w:rPr>
        <w:t>Zamawiający dokona weryfikacji kompletności i zgodności z umową.</w:t>
      </w:r>
    </w:p>
    <w:p>
      <w:pPr>
        <w:pStyle w:val="BodyText"/>
        <w:numPr>
          <w:ilvl w:val="0"/>
          <w:numId w:val="9"/>
        </w:numPr>
        <w:rPr>
          <w:rFonts w:ascii="Times New Roman" w:hAnsi="Times New Roman"/>
        </w:rPr>
      </w:pPr>
      <w:r>
        <w:rPr>
          <w:rFonts w:ascii="Times New Roman" w:hAnsi="Times New Roman"/>
        </w:rPr>
        <w:t>Wykonawca zobowiązany jest do wprowadzenia ewentualnych uwag Zamawiającego w terminie 14 dni od ich otrzymania.</w:t>
      </w:r>
    </w:p>
    <w:p>
      <w:pPr>
        <w:pStyle w:val="Heading4"/>
        <w:tabs>
          <w:tab w:val="clear" w:pos="709"/>
          <w:tab w:val="left" w:pos="0" w:leader="none"/>
        </w:tabs>
        <w:spacing w:lineRule="auto" w:line="276" w:before="0" w:after="140"/>
        <w:ind w:hanging="0" w:left="0"/>
        <w:rPr/>
      </w:pPr>
      <w:r>
        <w:rPr>
          <w:rStyle w:val="Strong"/>
          <w:rFonts w:ascii="Times New Roman" w:hAnsi="Times New Roman"/>
          <w:b/>
          <w:bCs/>
        </w:rPr>
        <w:t>12. Kody CPV (Wspólny Słownik Zamówień)</w:t>
      </w:r>
    </w:p>
    <w:p>
      <w:pPr>
        <w:pStyle w:val="BodyText"/>
        <w:numPr>
          <w:ilvl w:val="0"/>
          <w:numId w:val="10"/>
        </w:numPr>
        <w:rPr>
          <w:rFonts w:ascii="Times New Roman" w:hAnsi="Times New Roman"/>
        </w:rPr>
      </w:pPr>
      <w:r>
        <w:rPr>
          <w:rFonts w:ascii="Times New Roman" w:hAnsi="Times New Roman"/>
        </w:rPr>
        <w:t>71220000-6 – Usługi projektowania architektonicznego</w:t>
      </w:r>
    </w:p>
    <w:p>
      <w:pPr>
        <w:pStyle w:val="BodyText"/>
        <w:numPr>
          <w:ilvl w:val="0"/>
          <w:numId w:val="10"/>
        </w:numPr>
        <w:rPr>
          <w:rFonts w:ascii="Times New Roman" w:hAnsi="Times New Roman"/>
        </w:rPr>
      </w:pPr>
      <w:r>
        <w:rPr>
          <w:rFonts w:ascii="Times New Roman" w:hAnsi="Times New Roman"/>
        </w:rPr>
        <w:t>71221000-3 – Usługi architektoniczne w zakresie obiektów budowlanych</w:t>
      </w:r>
    </w:p>
    <w:p>
      <w:pPr>
        <w:pStyle w:val="BodyText"/>
        <w:numPr>
          <w:ilvl w:val="0"/>
          <w:numId w:val="10"/>
        </w:numPr>
        <w:rPr>
          <w:rFonts w:ascii="Times New Roman" w:hAnsi="Times New Roman"/>
        </w:rPr>
      </w:pPr>
      <w:r>
        <w:rPr>
          <w:rFonts w:ascii="Times New Roman" w:hAnsi="Times New Roman"/>
        </w:rPr>
        <w:t>71240000-2 – Usługi architektoniczne, inżynieryjne i planowania</w:t>
      </w:r>
    </w:p>
    <w:p>
      <w:pPr>
        <w:pStyle w:val="BodyText"/>
        <w:numPr>
          <w:ilvl w:val="0"/>
          <w:numId w:val="10"/>
        </w:numPr>
        <w:rPr>
          <w:rFonts w:ascii="Times New Roman" w:hAnsi="Times New Roman"/>
        </w:rPr>
      </w:pPr>
      <w:r>
        <w:rPr>
          <w:rFonts w:ascii="Times New Roman" w:hAnsi="Times New Roman"/>
        </w:rPr>
        <w:t>71250000-5 – Usługi w zakresie opracowywania planów i rysunków technicznych</w:t>
      </w:r>
    </w:p>
    <w:p>
      <w:pPr>
        <w:pStyle w:val="BodyText"/>
        <w:numPr>
          <w:ilvl w:val="0"/>
          <w:numId w:val="10"/>
        </w:numPr>
        <w:rPr>
          <w:rFonts w:ascii="Times New Roman" w:hAnsi="Times New Roman"/>
        </w:rPr>
      </w:pPr>
      <w:r>
        <w:rPr>
          <w:rFonts w:ascii="Times New Roman" w:hAnsi="Times New Roman"/>
        </w:rPr>
        <w:t>71320000-7 – Usługi inżynieryjne w zakresie projektowania</w:t>
      </w:r>
    </w:p>
    <w:p>
      <w:pPr>
        <w:pStyle w:val="BodyText"/>
        <w:numPr>
          <w:ilvl w:val="0"/>
          <w:numId w:val="10"/>
        </w:numPr>
        <w:rPr>
          <w:rFonts w:ascii="Times New Roman" w:hAnsi="Times New Roman"/>
        </w:rPr>
      </w:pPr>
      <w:r>
        <w:rPr>
          <w:rFonts w:ascii="Times New Roman" w:hAnsi="Times New Roman"/>
        </w:rPr>
        <w:t>71242000-6 –  Przygotowanie przedsięwzięcia i projektu, oszacowanie kosztów</w:t>
      </w:r>
    </w:p>
    <w:p>
      <w:pPr>
        <w:pStyle w:val="BodyText"/>
        <w:rPr>
          <w:b/>
          <w:bCs/>
        </w:rPr>
      </w:pPr>
      <w:r>
        <w:rPr>
          <w:b/>
          <w:bCs/>
        </w:rPr>
        <w:t>13. Dokumentacja fotograficzna obiektu.</w:t>
      </w:r>
    </w:p>
    <w:p>
      <w:pPr>
        <w:pStyle w:val="BodyText"/>
        <w:rPr>
          <w:b/>
          <w:bCs/>
        </w:rPr>
      </w:pPr>
      <w:r>
        <w:rPr>
          <w:b/>
          <w:bCs/>
        </w:rPr>
        <w:drawing>
          <wp:anchor behindDoc="0" distT="0" distB="0" distL="0" distR="0" simplePos="0" locked="0" layoutInCell="0" allowOverlap="1" relativeHeight="5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130800" cy="6840855"/>
            <wp:effectExtent l="0" t="0" r="0" b="0"/>
            <wp:wrapSquare wrapText="largest"/>
            <wp:docPr id="1" name="Obraz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4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80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bCs/>
        </w:rPr>
      </w:pPr>
      <w:r>
        <w:rPr>
          <w:b/>
          <w:bCs/>
        </w:rPr>
        <w:drawing>
          <wp:anchor behindDoc="0" distT="0" distB="0" distL="0" distR="0" simplePos="0" locked="0" layoutInCell="0" allowOverlap="1" relativeHeight="4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8159750"/>
            <wp:effectExtent l="0" t="0" r="0" b="0"/>
            <wp:wrapSquare wrapText="largest"/>
            <wp:docPr id="2" name="Obraz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3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15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bCs/>
        </w:rPr>
      </w:pPr>
      <w:r>
        <w:rPr>
          <w:b/>
          <w:bCs/>
        </w:rPr>
        <w:drawing>
          <wp:anchor behindDoc="0" distT="0" distB="0" distL="0" distR="0" simplePos="0" locked="0" layoutInCell="0" allowOverlap="1" relativeHeight="3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8159750"/>
            <wp:effectExtent l="0" t="0" r="0" b="0"/>
            <wp:wrapSquare wrapText="largest"/>
            <wp:docPr id="3" name="Obraz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2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15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0" w:after="140"/>
        <w:rPr>
          <w:b/>
          <w:bCs/>
        </w:rPr>
      </w:pPr>
      <w:r>
        <w:rPr>
          <w:b/>
          <w:bCs/>
        </w:rPr>
        <w:drawing>
          <wp:anchor behindDoc="0" distT="0" distB="0" distL="0" distR="0" simplePos="0" locked="0" layoutInCell="0" allowOverlap="1" relativeHeight="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261610" cy="7014845"/>
            <wp:effectExtent l="0" t="0" r="0" b="0"/>
            <wp:wrapSquare wrapText="largest"/>
            <wp:docPr id="4" name="Obraz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1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1610" cy="7014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1906" w:h="16838"/>
      <w:pgMar w:left="1134" w:right="1134" w:gutter="0" w:header="0" w:top="1134" w:footer="0" w:bottom="1134"/>
      <w:pgNumType w:fmt="decimal"/>
      <w:formProt w:val="false"/>
      <w:textDirection w:val="lrTb"/>
      <w:docGrid w:type="default" w:linePitch="600" w:charSpace="32768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ee"/>
    <w:family w:val="roman"/>
    <w:pitch w:val="variable"/>
  </w:font>
  <w:font w:name="OpenSymbol">
    <w:altName w:val="Arial Unicode MS"/>
    <w:charset w:val="02"/>
    <w:family w:val="auto"/>
    <w:pitch w:val="default"/>
  </w:font>
  <w:font w:name="Liberation Sans">
    <w:altName w:val="Arial"/>
    <w:charset w:val="ee"/>
    <w:family w:val="swiss"/>
    <w:pitch w:val="variable"/>
  </w:font>
  <w:font w:name="Times New Roman">
    <w:charset w:val="ee"/>
    <w:family w:val="roman"/>
    <w:pitch w:val="variable"/>
  </w:font>
  <w:font w:name="Symbol">
    <w:charset w:val="02"/>
    <w:family w:val="auto"/>
    <w:pitch w:val="default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pStyle w:val="Heading1"/>
      <w:numFmt w:val="none"/>
      <w:suff w:val="nothing"/>
      <w:lvlText w:val="%1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%2"/>
      <w:lvlJc w:val="left"/>
      <w:pPr>
        <w:tabs>
          <w:tab w:val="num" w:pos="0"/>
        </w:tabs>
        <w:ind w:left="0" w:hanging="0"/>
      </w:pPr>
    </w:lvl>
    <w:lvl w:ilvl="2">
      <w:start w:val="1"/>
      <w:pStyle w:val="Heading3"/>
      <w:numFmt w:val="none"/>
      <w:suff w:val="nothing"/>
      <w:lvlText w:val="%3"/>
      <w:lvlJc w:val="left"/>
      <w:pPr>
        <w:tabs>
          <w:tab w:val="num" w:pos="0"/>
        </w:tabs>
        <w:ind w:left="0" w:hanging="0"/>
      </w:pPr>
    </w:lvl>
    <w:lvl w:ilvl="3">
      <w:start w:val="1"/>
      <w:pStyle w:val="Heading4"/>
      <w:numFmt w:val="none"/>
      <w:suff w:val="nothing"/>
      <w:lvlText w:val="%4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%5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%6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%7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%8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%9"/>
      <w:lvlJc w:val="left"/>
      <w:pPr>
        <w:tabs>
          <w:tab w:val="num" w:pos="0"/>
        </w:tabs>
        <w:ind w:left="0" w:hanging="0"/>
      </w:pPr>
    </w:lvl>
  </w:abstractNum>
  <w:abstractNum w:abstractNumId="2">
    <w:lvl w:ilvl="0">
      <w:start w:val="1"/>
      <w:numFmt w:val="bullet"/>
      <w:lvlText w:val=""/>
      <w:lvlJc w:val="left"/>
      <w:pPr>
        <w:tabs>
          <w:tab w:val="num" w:pos="0"/>
        </w:tabs>
        <w:ind w:left="709" w:hanging="283"/>
      </w:pPr>
      <w:rPr>
        <w:rFonts w:ascii="Symbol" w:hAnsi="Symbol" w:cs="Symbol" w:hint="default"/>
      </w:rPr>
    </w:lvl>
    <w:lvl w:ilvl="1">
      <w:start w:val="1"/>
      <w:numFmt w:val="bullet"/>
      <w:lvlText w:val=""/>
      <w:lvlJc w:val="left"/>
      <w:pPr>
        <w:tabs>
          <w:tab w:val="num" w:pos="0"/>
        </w:tabs>
        <w:ind w:left="1418" w:hanging="283"/>
      </w:pPr>
      <w:rPr>
        <w:rFonts w:ascii="Symbol" w:hAnsi="Symbol" w:cs="Symbol" w:hint="default"/>
      </w:rPr>
    </w:lvl>
    <w:lvl w:ilvl="2">
      <w:start w:val="1"/>
      <w:numFmt w:val="bullet"/>
      <w:lvlText w:val=""/>
      <w:lvlJc w:val="left"/>
      <w:pPr>
        <w:tabs>
          <w:tab w:val="num" w:pos="0"/>
        </w:tabs>
        <w:ind w:left="2127" w:hanging="283"/>
      </w:pPr>
      <w:rPr>
        <w:rFonts w:ascii="Symbol" w:hAnsi="Symbol" w:cs="Symbol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36" w:hanging="283"/>
      </w:pPr>
      <w:rPr>
        <w:rFonts w:ascii="Symbol" w:hAnsi="Symbol" w:cs="Symbol" w:hint="default"/>
      </w:rPr>
    </w:lvl>
    <w:lvl w:ilvl="4">
      <w:start w:val="1"/>
      <w:numFmt w:val="bullet"/>
      <w:lvlText w:val=""/>
      <w:lvlJc w:val="left"/>
      <w:pPr>
        <w:tabs>
          <w:tab w:val="num" w:pos="0"/>
        </w:tabs>
        <w:ind w:left="3545" w:hanging="283"/>
      </w:pPr>
      <w:rPr>
        <w:rFonts w:ascii="Symbol" w:hAnsi="Symbol" w:cs="Symbol" w:hint="default"/>
      </w:rPr>
    </w:lvl>
    <w:lvl w:ilvl="5">
      <w:start w:val="1"/>
      <w:numFmt w:val="bullet"/>
      <w:lvlText w:val=""/>
      <w:lvlJc w:val="left"/>
      <w:pPr>
        <w:tabs>
          <w:tab w:val="num" w:pos="0"/>
        </w:tabs>
        <w:ind w:left="4254" w:hanging="283"/>
      </w:pPr>
      <w:rPr>
        <w:rFonts w:ascii="Symbol" w:hAnsi="Symbol" w:cs="Symbol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4963" w:hanging="283"/>
      </w:pPr>
      <w:rPr>
        <w:rFonts w:ascii="Symbol" w:hAnsi="Symbol" w:cs="Symbol" w:hint="default"/>
      </w:rPr>
    </w:lvl>
    <w:lvl w:ilvl="7">
      <w:start w:val="1"/>
      <w:numFmt w:val="bullet"/>
      <w:lvlText w:val=""/>
      <w:lvlJc w:val="left"/>
      <w:pPr>
        <w:tabs>
          <w:tab w:val="num" w:pos="0"/>
        </w:tabs>
        <w:ind w:left="5672" w:hanging="283"/>
      </w:pPr>
      <w:rPr>
        <w:rFonts w:ascii="Symbol" w:hAnsi="Symbol" w:cs="Symbol" w:hint="default"/>
      </w:rPr>
    </w:lvl>
    <w:lvl w:ilvl="8">
      <w:start w:val="1"/>
      <w:numFmt w:val="bullet"/>
      <w:lvlText w:val=""/>
      <w:lvlJc w:val="left"/>
      <w:pPr>
        <w:tabs>
          <w:tab w:val="num" w:pos="0"/>
        </w:tabs>
        <w:ind w:left="6381" w:hanging="283"/>
      </w:pPr>
      <w:rPr>
        <w:rFonts w:ascii="Symbol" w:hAnsi="Symbol" w:cs="Symbol" w:hint="default"/>
      </w:rPr>
    </w:lvl>
  </w:abstractNum>
  <w:abstractNum w:abstractNumId="3">
    <w:lvl w:ilvl="0">
      <w:start w:val="1"/>
      <w:numFmt w:val="decimal"/>
      <w:lvlText w:val="%1."/>
      <w:lvlJc w:val="left"/>
      <w:pPr>
        <w:tabs>
          <w:tab w:val="num" w:pos="0"/>
        </w:tabs>
        <w:ind w:left="709" w:hanging="283"/>
      </w:pPr>
    </w:lvl>
    <w:lvl w:ilvl="1">
      <w:start w:val="1"/>
      <w:numFmt w:val="bullet"/>
      <w:lvlText w:val=""/>
      <w:lvlJc w:val="left"/>
      <w:pPr>
        <w:tabs>
          <w:tab w:val="num" w:pos="0"/>
        </w:tabs>
        <w:ind w:left="1418" w:hanging="283"/>
      </w:pPr>
      <w:rPr>
        <w:rFonts w:ascii="Symbol" w:hAnsi="Symbol" w:cs="Symbol" w:hint="default"/>
      </w:rPr>
    </w:lvl>
    <w:lvl w:ilvl="2">
      <w:start w:val="1"/>
      <w:numFmt w:val="bullet"/>
      <w:lvlText w:val=""/>
      <w:lvlJc w:val="left"/>
      <w:pPr>
        <w:tabs>
          <w:tab w:val="num" w:pos="0"/>
        </w:tabs>
        <w:ind w:left="2127" w:hanging="283"/>
      </w:pPr>
      <w:rPr>
        <w:rFonts w:ascii="Symbol" w:hAnsi="Symbol" w:cs="Symbol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36" w:hanging="283"/>
      </w:pPr>
      <w:rPr>
        <w:rFonts w:ascii="Symbol" w:hAnsi="Symbol" w:cs="Symbol" w:hint="default"/>
      </w:rPr>
    </w:lvl>
    <w:lvl w:ilvl="4">
      <w:start w:val="1"/>
      <w:numFmt w:val="bullet"/>
      <w:lvlText w:val=""/>
      <w:lvlJc w:val="left"/>
      <w:pPr>
        <w:tabs>
          <w:tab w:val="num" w:pos="0"/>
        </w:tabs>
        <w:ind w:left="3545" w:hanging="283"/>
      </w:pPr>
      <w:rPr>
        <w:rFonts w:ascii="Symbol" w:hAnsi="Symbol" w:cs="Symbol" w:hint="default"/>
      </w:rPr>
    </w:lvl>
    <w:lvl w:ilvl="5">
      <w:start w:val="1"/>
      <w:numFmt w:val="bullet"/>
      <w:lvlText w:val=""/>
      <w:lvlJc w:val="left"/>
      <w:pPr>
        <w:tabs>
          <w:tab w:val="num" w:pos="0"/>
        </w:tabs>
        <w:ind w:left="4254" w:hanging="283"/>
      </w:pPr>
      <w:rPr>
        <w:rFonts w:ascii="Symbol" w:hAnsi="Symbol" w:cs="Symbol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4963" w:hanging="283"/>
      </w:pPr>
      <w:rPr>
        <w:rFonts w:ascii="Symbol" w:hAnsi="Symbol" w:cs="Symbol" w:hint="default"/>
      </w:rPr>
    </w:lvl>
    <w:lvl w:ilvl="7">
      <w:start w:val="1"/>
      <w:numFmt w:val="bullet"/>
      <w:lvlText w:val=""/>
      <w:lvlJc w:val="left"/>
      <w:pPr>
        <w:tabs>
          <w:tab w:val="num" w:pos="0"/>
        </w:tabs>
        <w:ind w:left="5672" w:hanging="283"/>
      </w:pPr>
      <w:rPr>
        <w:rFonts w:ascii="Symbol" w:hAnsi="Symbol" w:cs="Symbol" w:hint="default"/>
      </w:rPr>
    </w:lvl>
    <w:lvl w:ilvl="8">
      <w:start w:val="1"/>
      <w:numFmt w:val="bullet"/>
      <w:lvlText w:val=""/>
      <w:lvlJc w:val="left"/>
      <w:pPr>
        <w:tabs>
          <w:tab w:val="num" w:pos="0"/>
        </w:tabs>
        <w:ind w:left="6381" w:hanging="283"/>
      </w:pPr>
      <w:rPr>
        <w:rFonts w:ascii="Symbol" w:hAnsi="Symbol" w:cs="Symbol" w:hint="default"/>
      </w:rPr>
    </w:lvl>
  </w:abstractNum>
  <w:abstractNum w:abstractNumId="4">
    <w:lvl w:ilvl="0">
      <w:start w:val="1"/>
      <w:numFmt w:val="bullet"/>
      <w:lvlText w:val=""/>
      <w:lvlJc w:val="left"/>
      <w:pPr>
        <w:tabs>
          <w:tab w:val="num" w:pos="0"/>
        </w:tabs>
        <w:ind w:left="709" w:hanging="283"/>
      </w:pPr>
      <w:rPr>
        <w:rFonts w:ascii="Symbol" w:hAnsi="Symbol" w:cs="Symbol" w:hint="default"/>
      </w:rPr>
    </w:lvl>
    <w:lvl w:ilvl="1">
      <w:start w:val="1"/>
      <w:numFmt w:val="bullet"/>
      <w:lvlText w:val=""/>
      <w:lvlJc w:val="left"/>
      <w:pPr>
        <w:tabs>
          <w:tab w:val="num" w:pos="0"/>
        </w:tabs>
        <w:ind w:left="1418" w:hanging="283"/>
      </w:pPr>
      <w:rPr>
        <w:rFonts w:ascii="Symbol" w:hAnsi="Symbol" w:cs="Symbol" w:hint="default"/>
      </w:rPr>
    </w:lvl>
    <w:lvl w:ilvl="2">
      <w:start w:val="1"/>
      <w:numFmt w:val="bullet"/>
      <w:lvlText w:val=""/>
      <w:lvlJc w:val="left"/>
      <w:pPr>
        <w:tabs>
          <w:tab w:val="num" w:pos="0"/>
        </w:tabs>
        <w:ind w:left="2127" w:hanging="283"/>
      </w:pPr>
      <w:rPr>
        <w:rFonts w:ascii="Symbol" w:hAnsi="Symbol" w:cs="Symbol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36" w:hanging="283"/>
      </w:pPr>
      <w:rPr>
        <w:rFonts w:ascii="Symbol" w:hAnsi="Symbol" w:cs="Symbol" w:hint="default"/>
      </w:rPr>
    </w:lvl>
    <w:lvl w:ilvl="4">
      <w:start w:val="1"/>
      <w:numFmt w:val="bullet"/>
      <w:lvlText w:val=""/>
      <w:lvlJc w:val="left"/>
      <w:pPr>
        <w:tabs>
          <w:tab w:val="num" w:pos="0"/>
        </w:tabs>
        <w:ind w:left="3545" w:hanging="283"/>
      </w:pPr>
      <w:rPr>
        <w:rFonts w:ascii="Symbol" w:hAnsi="Symbol" w:cs="Symbol" w:hint="default"/>
      </w:rPr>
    </w:lvl>
    <w:lvl w:ilvl="5">
      <w:start w:val="1"/>
      <w:numFmt w:val="bullet"/>
      <w:lvlText w:val=""/>
      <w:lvlJc w:val="left"/>
      <w:pPr>
        <w:tabs>
          <w:tab w:val="num" w:pos="0"/>
        </w:tabs>
        <w:ind w:left="4254" w:hanging="283"/>
      </w:pPr>
      <w:rPr>
        <w:rFonts w:ascii="Symbol" w:hAnsi="Symbol" w:cs="Symbol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4963" w:hanging="283"/>
      </w:pPr>
      <w:rPr>
        <w:rFonts w:ascii="Symbol" w:hAnsi="Symbol" w:cs="Symbol" w:hint="default"/>
      </w:rPr>
    </w:lvl>
    <w:lvl w:ilvl="7">
      <w:start w:val="1"/>
      <w:numFmt w:val="bullet"/>
      <w:lvlText w:val=""/>
      <w:lvlJc w:val="left"/>
      <w:pPr>
        <w:tabs>
          <w:tab w:val="num" w:pos="0"/>
        </w:tabs>
        <w:ind w:left="5672" w:hanging="283"/>
      </w:pPr>
      <w:rPr>
        <w:rFonts w:ascii="Symbol" w:hAnsi="Symbol" w:cs="Symbol" w:hint="default"/>
      </w:rPr>
    </w:lvl>
    <w:lvl w:ilvl="8">
      <w:start w:val="1"/>
      <w:numFmt w:val="bullet"/>
      <w:lvlText w:val=""/>
      <w:lvlJc w:val="left"/>
      <w:pPr>
        <w:tabs>
          <w:tab w:val="num" w:pos="0"/>
        </w:tabs>
        <w:ind w:left="6381" w:hanging="283"/>
      </w:pPr>
      <w:rPr>
        <w:rFonts w:ascii="Symbol" w:hAnsi="Symbol" w:cs="Symbol" w:hint="default"/>
      </w:rPr>
    </w:lvl>
  </w:abstractNum>
  <w:abstractNum w:abstractNumId="5">
    <w:lvl w:ilvl="0">
      <w:start w:val="1"/>
      <w:numFmt w:val="bullet"/>
      <w:lvlText w:val=""/>
      <w:lvlJc w:val="left"/>
      <w:pPr>
        <w:tabs>
          <w:tab w:val="num" w:pos="0"/>
        </w:tabs>
        <w:ind w:left="709" w:hanging="283"/>
      </w:pPr>
      <w:rPr>
        <w:rFonts w:ascii="Symbol" w:hAnsi="Symbol" w:cs="Symbol" w:hint="default"/>
      </w:rPr>
    </w:lvl>
    <w:lvl w:ilvl="1">
      <w:start w:val="1"/>
      <w:numFmt w:val="bullet"/>
      <w:lvlText w:val=""/>
      <w:lvlJc w:val="left"/>
      <w:pPr>
        <w:tabs>
          <w:tab w:val="num" w:pos="0"/>
        </w:tabs>
        <w:ind w:left="1418" w:hanging="283"/>
      </w:pPr>
      <w:rPr>
        <w:rFonts w:ascii="Symbol" w:hAnsi="Symbol" w:cs="Symbol" w:hint="default"/>
      </w:rPr>
    </w:lvl>
    <w:lvl w:ilvl="2">
      <w:start w:val="1"/>
      <w:numFmt w:val="bullet"/>
      <w:lvlText w:val=""/>
      <w:lvlJc w:val="left"/>
      <w:pPr>
        <w:tabs>
          <w:tab w:val="num" w:pos="0"/>
        </w:tabs>
        <w:ind w:left="2127" w:hanging="283"/>
      </w:pPr>
      <w:rPr>
        <w:rFonts w:ascii="Symbol" w:hAnsi="Symbol" w:cs="Symbol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36" w:hanging="283"/>
      </w:pPr>
      <w:rPr>
        <w:rFonts w:ascii="Symbol" w:hAnsi="Symbol" w:cs="Symbol" w:hint="default"/>
      </w:rPr>
    </w:lvl>
    <w:lvl w:ilvl="4">
      <w:start w:val="1"/>
      <w:numFmt w:val="bullet"/>
      <w:lvlText w:val=""/>
      <w:lvlJc w:val="left"/>
      <w:pPr>
        <w:tabs>
          <w:tab w:val="num" w:pos="0"/>
        </w:tabs>
        <w:ind w:left="3545" w:hanging="283"/>
      </w:pPr>
      <w:rPr>
        <w:rFonts w:ascii="Symbol" w:hAnsi="Symbol" w:cs="Symbol" w:hint="default"/>
      </w:rPr>
    </w:lvl>
    <w:lvl w:ilvl="5">
      <w:start w:val="1"/>
      <w:numFmt w:val="bullet"/>
      <w:lvlText w:val=""/>
      <w:lvlJc w:val="left"/>
      <w:pPr>
        <w:tabs>
          <w:tab w:val="num" w:pos="0"/>
        </w:tabs>
        <w:ind w:left="4254" w:hanging="283"/>
      </w:pPr>
      <w:rPr>
        <w:rFonts w:ascii="Symbol" w:hAnsi="Symbol" w:cs="Symbol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4963" w:hanging="283"/>
      </w:pPr>
      <w:rPr>
        <w:rFonts w:ascii="Symbol" w:hAnsi="Symbol" w:cs="Symbol" w:hint="default"/>
      </w:rPr>
    </w:lvl>
    <w:lvl w:ilvl="7">
      <w:start w:val="1"/>
      <w:numFmt w:val="bullet"/>
      <w:lvlText w:val=""/>
      <w:lvlJc w:val="left"/>
      <w:pPr>
        <w:tabs>
          <w:tab w:val="num" w:pos="0"/>
        </w:tabs>
        <w:ind w:left="5672" w:hanging="283"/>
      </w:pPr>
      <w:rPr>
        <w:rFonts w:ascii="Symbol" w:hAnsi="Symbol" w:cs="Symbol" w:hint="default"/>
      </w:rPr>
    </w:lvl>
    <w:lvl w:ilvl="8">
      <w:start w:val="1"/>
      <w:numFmt w:val="bullet"/>
      <w:lvlText w:val=""/>
      <w:lvlJc w:val="left"/>
      <w:pPr>
        <w:tabs>
          <w:tab w:val="num" w:pos="0"/>
        </w:tabs>
        <w:ind w:left="6381" w:hanging="283"/>
      </w:pPr>
      <w:rPr>
        <w:rFonts w:ascii="Symbol" w:hAnsi="Symbol" w:cs="Symbol" w:hint="default"/>
      </w:rPr>
    </w:lvl>
  </w:abstractNum>
  <w:abstractNum w:abstractNumId="6">
    <w:lvl w:ilvl="0">
      <w:start w:val="1"/>
      <w:numFmt w:val="bullet"/>
      <w:lvlText w:val=""/>
      <w:lvlJc w:val="left"/>
      <w:pPr>
        <w:tabs>
          <w:tab w:val="num" w:pos="0"/>
        </w:tabs>
        <w:ind w:left="709" w:hanging="283"/>
      </w:pPr>
      <w:rPr>
        <w:rFonts w:ascii="Symbol" w:hAnsi="Symbol" w:cs="Symbol" w:hint="default"/>
      </w:rPr>
    </w:lvl>
    <w:lvl w:ilvl="1">
      <w:start w:val="1"/>
      <w:numFmt w:val="bullet"/>
      <w:lvlText w:val=""/>
      <w:lvlJc w:val="left"/>
      <w:pPr>
        <w:tabs>
          <w:tab w:val="num" w:pos="0"/>
        </w:tabs>
        <w:ind w:left="1418" w:hanging="283"/>
      </w:pPr>
      <w:rPr>
        <w:rFonts w:ascii="Symbol" w:hAnsi="Symbol" w:cs="Symbol" w:hint="default"/>
      </w:rPr>
    </w:lvl>
    <w:lvl w:ilvl="2">
      <w:start w:val="1"/>
      <w:numFmt w:val="bullet"/>
      <w:lvlText w:val=""/>
      <w:lvlJc w:val="left"/>
      <w:pPr>
        <w:tabs>
          <w:tab w:val="num" w:pos="0"/>
        </w:tabs>
        <w:ind w:left="2127" w:hanging="283"/>
      </w:pPr>
      <w:rPr>
        <w:rFonts w:ascii="Symbol" w:hAnsi="Symbol" w:cs="Symbol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36" w:hanging="283"/>
      </w:pPr>
      <w:rPr>
        <w:rFonts w:ascii="Symbol" w:hAnsi="Symbol" w:cs="Symbol" w:hint="default"/>
      </w:rPr>
    </w:lvl>
    <w:lvl w:ilvl="4">
      <w:start w:val="1"/>
      <w:numFmt w:val="bullet"/>
      <w:lvlText w:val=""/>
      <w:lvlJc w:val="left"/>
      <w:pPr>
        <w:tabs>
          <w:tab w:val="num" w:pos="0"/>
        </w:tabs>
        <w:ind w:left="3545" w:hanging="283"/>
      </w:pPr>
      <w:rPr>
        <w:rFonts w:ascii="Symbol" w:hAnsi="Symbol" w:cs="Symbol" w:hint="default"/>
      </w:rPr>
    </w:lvl>
    <w:lvl w:ilvl="5">
      <w:start w:val="1"/>
      <w:numFmt w:val="bullet"/>
      <w:lvlText w:val=""/>
      <w:lvlJc w:val="left"/>
      <w:pPr>
        <w:tabs>
          <w:tab w:val="num" w:pos="0"/>
        </w:tabs>
        <w:ind w:left="4254" w:hanging="283"/>
      </w:pPr>
      <w:rPr>
        <w:rFonts w:ascii="Symbol" w:hAnsi="Symbol" w:cs="Symbol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4963" w:hanging="283"/>
      </w:pPr>
      <w:rPr>
        <w:rFonts w:ascii="Symbol" w:hAnsi="Symbol" w:cs="Symbol" w:hint="default"/>
      </w:rPr>
    </w:lvl>
    <w:lvl w:ilvl="7">
      <w:start w:val="1"/>
      <w:numFmt w:val="bullet"/>
      <w:lvlText w:val=""/>
      <w:lvlJc w:val="left"/>
      <w:pPr>
        <w:tabs>
          <w:tab w:val="num" w:pos="0"/>
        </w:tabs>
        <w:ind w:left="5672" w:hanging="283"/>
      </w:pPr>
      <w:rPr>
        <w:rFonts w:ascii="Symbol" w:hAnsi="Symbol" w:cs="Symbol" w:hint="default"/>
      </w:rPr>
    </w:lvl>
    <w:lvl w:ilvl="8">
      <w:start w:val="1"/>
      <w:numFmt w:val="bullet"/>
      <w:lvlText w:val=""/>
      <w:lvlJc w:val="left"/>
      <w:pPr>
        <w:tabs>
          <w:tab w:val="num" w:pos="0"/>
        </w:tabs>
        <w:ind w:left="6381" w:hanging="283"/>
      </w:pPr>
      <w:rPr>
        <w:rFonts w:ascii="Symbol" w:hAnsi="Symbol" w:cs="Symbol" w:hint="default"/>
      </w:rPr>
    </w:lvl>
  </w:abstractNum>
  <w:abstractNum w:abstractNumId="7">
    <w:lvl w:ilvl="0">
      <w:start w:val="1"/>
      <w:numFmt w:val="decimal"/>
      <w:lvlText w:val="%1."/>
      <w:lvlJc w:val="left"/>
      <w:pPr>
        <w:tabs>
          <w:tab w:val="num" w:pos="0"/>
        </w:tabs>
        <w:ind w:left="709" w:hanging="283"/>
      </w:pPr>
    </w:lvl>
    <w:lvl w:ilvl="1">
      <w:start w:val="1"/>
      <w:numFmt w:val="bullet"/>
      <w:lvlText w:val=""/>
      <w:lvlJc w:val="left"/>
      <w:pPr>
        <w:tabs>
          <w:tab w:val="num" w:pos="0"/>
        </w:tabs>
        <w:ind w:left="1418" w:hanging="283"/>
      </w:pPr>
      <w:rPr>
        <w:rFonts w:ascii="Symbol" w:hAnsi="Symbol" w:cs="Symbol" w:hint="default"/>
      </w:rPr>
    </w:lvl>
    <w:lvl w:ilvl="2">
      <w:start w:val="1"/>
      <w:numFmt w:val="bullet"/>
      <w:lvlText w:val=""/>
      <w:lvlJc w:val="left"/>
      <w:pPr>
        <w:tabs>
          <w:tab w:val="num" w:pos="0"/>
        </w:tabs>
        <w:ind w:left="2127" w:hanging="283"/>
      </w:pPr>
      <w:rPr>
        <w:rFonts w:ascii="Symbol" w:hAnsi="Symbol" w:cs="Symbol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36" w:hanging="283"/>
      </w:pPr>
      <w:rPr>
        <w:rFonts w:ascii="Symbol" w:hAnsi="Symbol" w:cs="Symbol" w:hint="default"/>
      </w:rPr>
    </w:lvl>
    <w:lvl w:ilvl="4">
      <w:start w:val="1"/>
      <w:numFmt w:val="bullet"/>
      <w:lvlText w:val=""/>
      <w:lvlJc w:val="left"/>
      <w:pPr>
        <w:tabs>
          <w:tab w:val="num" w:pos="0"/>
        </w:tabs>
        <w:ind w:left="3545" w:hanging="283"/>
      </w:pPr>
      <w:rPr>
        <w:rFonts w:ascii="Symbol" w:hAnsi="Symbol" w:cs="Symbol" w:hint="default"/>
      </w:rPr>
    </w:lvl>
    <w:lvl w:ilvl="5">
      <w:start w:val="1"/>
      <w:numFmt w:val="bullet"/>
      <w:lvlText w:val=""/>
      <w:lvlJc w:val="left"/>
      <w:pPr>
        <w:tabs>
          <w:tab w:val="num" w:pos="0"/>
        </w:tabs>
        <w:ind w:left="4254" w:hanging="283"/>
      </w:pPr>
      <w:rPr>
        <w:rFonts w:ascii="Symbol" w:hAnsi="Symbol" w:cs="Symbol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4963" w:hanging="283"/>
      </w:pPr>
      <w:rPr>
        <w:rFonts w:ascii="Symbol" w:hAnsi="Symbol" w:cs="Symbol" w:hint="default"/>
      </w:rPr>
    </w:lvl>
    <w:lvl w:ilvl="7">
      <w:start w:val="1"/>
      <w:numFmt w:val="bullet"/>
      <w:lvlText w:val=""/>
      <w:lvlJc w:val="left"/>
      <w:pPr>
        <w:tabs>
          <w:tab w:val="num" w:pos="0"/>
        </w:tabs>
        <w:ind w:left="5672" w:hanging="283"/>
      </w:pPr>
      <w:rPr>
        <w:rFonts w:ascii="Symbol" w:hAnsi="Symbol" w:cs="Symbol" w:hint="default"/>
      </w:rPr>
    </w:lvl>
    <w:lvl w:ilvl="8">
      <w:start w:val="1"/>
      <w:numFmt w:val="bullet"/>
      <w:lvlText w:val=""/>
      <w:lvlJc w:val="left"/>
      <w:pPr>
        <w:tabs>
          <w:tab w:val="num" w:pos="0"/>
        </w:tabs>
        <w:ind w:left="6381" w:hanging="283"/>
      </w:pPr>
      <w:rPr>
        <w:rFonts w:ascii="Symbol" w:hAnsi="Symbol" w:cs="Symbol" w:hint="default"/>
      </w:rPr>
    </w:lvl>
  </w:abstractNum>
  <w:abstractNum w:abstractNumId="8">
    <w:lvl w:ilvl="0">
      <w:start w:val="1"/>
      <w:numFmt w:val="bullet"/>
      <w:lvlText w:val=""/>
      <w:lvlJc w:val="left"/>
      <w:pPr>
        <w:tabs>
          <w:tab w:val="num" w:pos="0"/>
        </w:tabs>
        <w:ind w:left="709" w:hanging="283"/>
      </w:pPr>
      <w:rPr>
        <w:rFonts w:ascii="Symbol" w:hAnsi="Symbol" w:cs="Symbol" w:hint="default"/>
      </w:rPr>
    </w:lvl>
    <w:lvl w:ilvl="1">
      <w:start w:val="1"/>
      <w:numFmt w:val="bullet"/>
      <w:lvlText w:val=""/>
      <w:lvlJc w:val="left"/>
      <w:pPr>
        <w:tabs>
          <w:tab w:val="num" w:pos="0"/>
        </w:tabs>
        <w:ind w:left="1418" w:hanging="283"/>
      </w:pPr>
      <w:rPr>
        <w:rFonts w:ascii="Symbol" w:hAnsi="Symbol" w:cs="Symbol" w:hint="default"/>
      </w:rPr>
    </w:lvl>
    <w:lvl w:ilvl="2">
      <w:start w:val="1"/>
      <w:numFmt w:val="bullet"/>
      <w:lvlText w:val=""/>
      <w:lvlJc w:val="left"/>
      <w:pPr>
        <w:tabs>
          <w:tab w:val="num" w:pos="0"/>
        </w:tabs>
        <w:ind w:left="2127" w:hanging="283"/>
      </w:pPr>
      <w:rPr>
        <w:rFonts w:ascii="Symbol" w:hAnsi="Symbol" w:cs="Symbol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36" w:hanging="283"/>
      </w:pPr>
      <w:rPr>
        <w:rFonts w:ascii="Symbol" w:hAnsi="Symbol" w:cs="Symbol" w:hint="default"/>
      </w:rPr>
    </w:lvl>
    <w:lvl w:ilvl="4">
      <w:start w:val="1"/>
      <w:numFmt w:val="bullet"/>
      <w:lvlText w:val=""/>
      <w:lvlJc w:val="left"/>
      <w:pPr>
        <w:tabs>
          <w:tab w:val="num" w:pos="0"/>
        </w:tabs>
        <w:ind w:left="3545" w:hanging="283"/>
      </w:pPr>
      <w:rPr>
        <w:rFonts w:ascii="Symbol" w:hAnsi="Symbol" w:cs="Symbol" w:hint="default"/>
      </w:rPr>
    </w:lvl>
    <w:lvl w:ilvl="5">
      <w:start w:val="1"/>
      <w:numFmt w:val="bullet"/>
      <w:lvlText w:val=""/>
      <w:lvlJc w:val="left"/>
      <w:pPr>
        <w:tabs>
          <w:tab w:val="num" w:pos="0"/>
        </w:tabs>
        <w:ind w:left="4254" w:hanging="283"/>
      </w:pPr>
      <w:rPr>
        <w:rFonts w:ascii="Symbol" w:hAnsi="Symbol" w:cs="Symbol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4963" w:hanging="283"/>
      </w:pPr>
      <w:rPr>
        <w:rFonts w:ascii="Symbol" w:hAnsi="Symbol" w:cs="Symbol" w:hint="default"/>
      </w:rPr>
    </w:lvl>
    <w:lvl w:ilvl="7">
      <w:start w:val="1"/>
      <w:numFmt w:val="bullet"/>
      <w:lvlText w:val=""/>
      <w:lvlJc w:val="left"/>
      <w:pPr>
        <w:tabs>
          <w:tab w:val="num" w:pos="0"/>
        </w:tabs>
        <w:ind w:left="5672" w:hanging="283"/>
      </w:pPr>
      <w:rPr>
        <w:rFonts w:ascii="Symbol" w:hAnsi="Symbol" w:cs="Symbol" w:hint="default"/>
      </w:rPr>
    </w:lvl>
    <w:lvl w:ilvl="8">
      <w:start w:val="1"/>
      <w:numFmt w:val="bullet"/>
      <w:lvlText w:val=""/>
      <w:lvlJc w:val="left"/>
      <w:pPr>
        <w:tabs>
          <w:tab w:val="num" w:pos="0"/>
        </w:tabs>
        <w:ind w:left="6381" w:hanging="283"/>
      </w:pPr>
      <w:rPr>
        <w:rFonts w:ascii="Symbol" w:hAnsi="Symbol" w:cs="Symbol" w:hint="default"/>
      </w:rPr>
    </w:lvl>
  </w:abstractNum>
  <w:abstractNum w:abstractNumId="9">
    <w:lvl w:ilvl="0">
      <w:start w:val="1"/>
      <w:numFmt w:val="bullet"/>
      <w:lvlText w:val=""/>
      <w:lvlJc w:val="left"/>
      <w:pPr>
        <w:tabs>
          <w:tab w:val="num" w:pos="0"/>
        </w:tabs>
        <w:ind w:left="709" w:hanging="283"/>
      </w:pPr>
      <w:rPr>
        <w:rFonts w:ascii="Symbol" w:hAnsi="Symbol" w:cs="Symbol" w:hint="default"/>
      </w:rPr>
    </w:lvl>
    <w:lvl w:ilvl="1">
      <w:start w:val="1"/>
      <w:numFmt w:val="bullet"/>
      <w:lvlText w:val=""/>
      <w:lvlJc w:val="left"/>
      <w:pPr>
        <w:tabs>
          <w:tab w:val="num" w:pos="0"/>
        </w:tabs>
        <w:ind w:left="1418" w:hanging="283"/>
      </w:pPr>
      <w:rPr>
        <w:rFonts w:ascii="Symbol" w:hAnsi="Symbol" w:cs="Symbol" w:hint="default"/>
      </w:rPr>
    </w:lvl>
    <w:lvl w:ilvl="2">
      <w:start w:val="1"/>
      <w:numFmt w:val="bullet"/>
      <w:lvlText w:val=""/>
      <w:lvlJc w:val="left"/>
      <w:pPr>
        <w:tabs>
          <w:tab w:val="num" w:pos="0"/>
        </w:tabs>
        <w:ind w:left="2127" w:hanging="283"/>
      </w:pPr>
      <w:rPr>
        <w:rFonts w:ascii="Symbol" w:hAnsi="Symbol" w:cs="Symbol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36" w:hanging="283"/>
      </w:pPr>
      <w:rPr>
        <w:rFonts w:ascii="Symbol" w:hAnsi="Symbol" w:cs="Symbol" w:hint="default"/>
      </w:rPr>
    </w:lvl>
    <w:lvl w:ilvl="4">
      <w:start w:val="1"/>
      <w:numFmt w:val="bullet"/>
      <w:lvlText w:val=""/>
      <w:lvlJc w:val="left"/>
      <w:pPr>
        <w:tabs>
          <w:tab w:val="num" w:pos="0"/>
        </w:tabs>
        <w:ind w:left="3545" w:hanging="283"/>
      </w:pPr>
      <w:rPr>
        <w:rFonts w:ascii="Symbol" w:hAnsi="Symbol" w:cs="Symbol" w:hint="default"/>
      </w:rPr>
    </w:lvl>
    <w:lvl w:ilvl="5">
      <w:start w:val="1"/>
      <w:numFmt w:val="bullet"/>
      <w:lvlText w:val=""/>
      <w:lvlJc w:val="left"/>
      <w:pPr>
        <w:tabs>
          <w:tab w:val="num" w:pos="0"/>
        </w:tabs>
        <w:ind w:left="4254" w:hanging="283"/>
      </w:pPr>
      <w:rPr>
        <w:rFonts w:ascii="Symbol" w:hAnsi="Symbol" w:cs="Symbol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4963" w:hanging="283"/>
      </w:pPr>
      <w:rPr>
        <w:rFonts w:ascii="Symbol" w:hAnsi="Symbol" w:cs="Symbol" w:hint="default"/>
      </w:rPr>
    </w:lvl>
    <w:lvl w:ilvl="7">
      <w:start w:val="1"/>
      <w:numFmt w:val="bullet"/>
      <w:lvlText w:val=""/>
      <w:lvlJc w:val="left"/>
      <w:pPr>
        <w:tabs>
          <w:tab w:val="num" w:pos="0"/>
        </w:tabs>
        <w:ind w:left="5672" w:hanging="283"/>
      </w:pPr>
      <w:rPr>
        <w:rFonts w:ascii="Symbol" w:hAnsi="Symbol" w:cs="Symbol" w:hint="default"/>
      </w:rPr>
    </w:lvl>
    <w:lvl w:ilvl="8">
      <w:start w:val="1"/>
      <w:numFmt w:val="bullet"/>
      <w:lvlText w:val=""/>
      <w:lvlJc w:val="left"/>
      <w:pPr>
        <w:tabs>
          <w:tab w:val="num" w:pos="0"/>
        </w:tabs>
        <w:ind w:left="6381" w:hanging="283"/>
      </w:pPr>
      <w:rPr>
        <w:rFonts w:ascii="Symbol" w:hAnsi="Symbol" w:cs="Symbol" w:hint="default"/>
      </w:rPr>
    </w:lvl>
  </w:abstractNum>
  <w:abstractNum w:abstractNumId="10">
    <w:lvl w:ilvl="0">
      <w:start w:val="1"/>
      <w:numFmt w:val="bullet"/>
      <w:lvlText w:val=""/>
      <w:lvlJc w:val="left"/>
      <w:pPr>
        <w:tabs>
          <w:tab w:val="num" w:pos="0"/>
        </w:tabs>
        <w:ind w:left="709" w:hanging="283"/>
      </w:pPr>
      <w:rPr>
        <w:rFonts w:ascii="Symbol" w:hAnsi="Symbol" w:cs="Symbol" w:hint="default"/>
      </w:rPr>
    </w:lvl>
    <w:lvl w:ilvl="1">
      <w:start w:val="1"/>
      <w:numFmt w:val="bullet"/>
      <w:lvlText w:val=""/>
      <w:lvlJc w:val="left"/>
      <w:pPr>
        <w:tabs>
          <w:tab w:val="num" w:pos="0"/>
        </w:tabs>
        <w:ind w:left="1418" w:hanging="283"/>
      </w:pPr>
      <w:rPr>
        <w:rFonts w:ascii="Symbol" w:hAnsi="Symbol" w:cs="Symbol" w:hint="default"/>
      </w:rPr>
    </w:lvl>
    <w:lvl w:ilvl="2">
      <w:start w:val="1"/>
      <w:numFmt w:val="bullet"/>
      <w:lvlText w:val=""/>
      <w:lvlJc w:val="left"/>
      <w:pPr>
        <w:tabs>
          <w:tab w:val="num" w:pos="0"/>
        </w:tabs>
        <w:ind w:left="2127" w:hanging="283"/>
      </w:pPr>
      <w:rPr>
        <w:rFonts w:ascii="Symbol" w:hAnsi="Symbol" w:cs="Symbol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36" w:hanging="283"/>
      </w:pPr>
      <w:rPr>
        <w:rFonts w:ascii="Symbol" w:hAnsi="Symbol" w:cs="Symbol" w:hint="default"/>
      </w:rPr>
    </w:lvl>
    <w:lvl w:ilvl="4">
      <w:start w:val="1"/>
      <w:numFmt w:val="bullet"/>
      <w:lvlText w:val=""/>
      <w:lvlJc w:val="left"/>
      <w:pPr>
        <w:tabs>
          <w:tab w:val="num" w:pos="0"/>
        </w:tabs>
        <w:ind w:left="3545" w:hanging="283"/>
      </w:pPr>
      <w:rPr>
        <w:rFonts w:ascii="Symbol" w:hAnsi="Symbol" w:cs="Symbol" w:hint="default"/>
      </w:rPr>
    </w:lvl>
    <w:lvl w:ilvl="5">
      <w:start w:val="1"/>
      <w:numFmt w:val="bullet"/>
      <w:lvlText w:val=""/>
      <w:lvlJc w:val="left"/>
      <w:pPr>
        <w:tabs>
          <w:tab w:val="num" w:pos="0"/>
        </w:tabs>
        <w:ind w:left="4254" w:hanging="283"/>
      </w:pPr>
      <w:rPr>
        <w:rFonts w:ascii="Symbol" w:hAnsi="Symbol" w:cs="Symbol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4963" w:hanging="283"/>
      </w:pPr>
      <w:rPr>
        <w:rFonts w:ascii="Symbol" w:hAnsi="Symbol" w:cs="Symbol" w:hint="default"/>
      </w:rPr>
    </w:lvl>
    <w:lvl w:ilvl="7">
      <w:start w:val="1"/>
      <w:numFmt w:val="bullet"/>
      <w:lvlText w:val=""/>
      <w:lvlJc w:val="left"/>
      <w:pPr>
        <w:tabs>
          <w:tab w:val="num" w:pos="0"/>
        </w:tabs>
        <w:ind w:left="5672" w:hanging="283"/>
      </w:pPr>
      <w:rPr>
        <w:rFonts w:ascii="Symbol" w:hAnsi="Symbol" w:cs="Symbol" w:hint="default"/>
      </w:rPr>
    </w:lvl>
    <w:lvl w:ilvl="8">
      <w:start w:val="1"/>
      <w:numFmt w:val="bullet"/>
      <w:lvlText w:val=""/>
      <w:lvlJc w:val="left"/>
      <w:pPr>
        <w:tabs>
          <w:tab w:val="num" w:pos="0"/>
        </w:tabs>
        <w:ind w:left="6381" w:hanging="283"/>
      </w:pPr>
      <w:rPr>
        <w:rFonts w:ascii="Symbol" w:hAnsi="Symbol" w:cs="Symbol" w:hint="default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  <w:num w:numId="8">
    <w:abstractNumId w:val="8"/>
  </w:num>
  <w:num w:numId="9">
    <w:abstractNumId w:val="9"/>
  </w:num>
  <w:num w:numId="10">
    <w:abstractNumId w:val="10"/>
  </w:num>
</w:numbering>
</file>

<file path=word/settings.xml><?xml version="1.0" encoding="utf-8"?>
<w:settings xmlns:w="http://schemas.openxmlformats.org/wordprocessingml/2006/main">
  <w:zoom w:percent="90"/>
  <w:defaultTabStop w:val="709"/>
  <w:autoHyphenation w:val="true"/>
  <w:compat>
    <w:compatSetting w:name="compatibilityMode" w:uri="http://schemas.microsoft.com/office/word" w:val="12"/>
  </w:compat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NSimSun" w:cs="Arial"/>
        <w:kern w:val="2"/>
        <w:sz w:val="24"/>
        <w:szCs w:val="24"/>
        <w:lang w:val="pl-PL" w:eastAsia="zh-CN" w:bidi="hi-IN"/>
      </w:rPr>
    </w:rPrDefault>
    <w:pPrDefault>
      <w:pPr>
        <w:widowControl/>
        <w:suppressAutoHyphens w:val="false"/>
        <w:textAlignment w:val="baseline"/>
      </w:pPr>
    </w:pPrDefault>
  </w:docDefaults>
  <w:style w:type="paragraph" w:styleId="Normal">
    <w:name w:val="Normal"/>
    <w:qFormat/>
    <w:pPr>
      <w:keepNext w:val="false"/>
      <w:keepLines w:val="false"/>
      <w:pageBreakBefore w:val="false"/>
      <w:widowControl/>
      <w:pBdr/>
      <w:shd w:fill="auto" w:val="clear"/>
      <w:suppressAutoHyphens w:val="true"/>
      <w:kinsoku w:val="true"/>
      <w:overflowPunct w:val="true"/>
      <w:autoSpaceDE w:val="true"/>
      <w:bidi w:val="0"/>
      <w:snapToGrid w:val="true"/>
      <w:spacing w:lineRule="auto" w:line="240"/>
      <w:jc w:val="left"/>
      <w:textAlignment w:val="baseline"/>
    </w:pPr>
    <w:rPr>
      <w:rFonts w:ascii="Liberation Serif" w:hAnsi="Liberation Serif" w:eastAsia="NSimSun" w:cs="Arial"/>
      <w:b w:val="false"/>
      <w:bCs w:val="false"/>
      <w:i w:val="false"/>
      <w:iCs w:val="false"/>
      <w:caps w:val="false"/>
      <w:smallCaps w:val="false"/>
      <w:strike w:val="false"/>
      <w:dstrike w:val="false"/>
      <w:outline w:val="false"/>
      <w:emboss w:val="false"/>
      <w:imprint w:val="false"/>
      <w:color w:val="auto"/>
      <w:spacing w:val="0"/>
      <w:w w:val="100"/>
      <w:kern w:val="2"/>
      <w:position w:val="0"/>
      <w:sz w:val="24"/>
      <w:sz w:val="24"/>
      <w:szCs w:val="24"/>
      <w:u w:val="none"/>
      <w:shd w:fill="auto" w:val="clear"/>
      <w:vertAlign w:val="baseline"/>
      <w:em w:val="none"/>
      <w:lang w:val="pl-PL" w:eastAsia="zh-CN" w:bidi="hi-IN"/>
    </w:rPr>
  </w:style>
  <w:style w:type="paragraph" w:styleId="Heading1">
    <w:name w:val="Heading 1"/>
    <w:basedOn w:val="Nagwek"/>
    <w:next w:val="BodyText"/>
    <w:qFormat/>
    <w:pPr>
      <w:numPr>
        <w:ilvl w:val="0"/>
        <w:numId w:val="1"/>
      </w:numPr>
      <w:suppressAutoHyphens w:val="true"/>
      <w:outlineLvl w:val="0"/>
    </w:pPr>
    <w:rPr>
      <w:rFonts w:ascii="Liberation Serif" w:hAnsi="Liberation Serif" w:eastAsia="NSimSun"/>
      <w:b/>
      <w:bCs/>
      <w:sz w:val="48"/>
      <w:szCs w:val="48"/>
    </w:rPr>
  </w:style>
  <w:style w:type="paragraph" w:styleId="Heading3">
    <w:name w:val="Heading 3"/>
    <w:basedOn w:val="Nagwek"/>
    <w:next w:val="BodyText"/>
    <w:qFormat/>
    <w:pPr>
      <w:numPr>
        <w:ilvl w:val="2"/>
        <w:numId w:val="1"/>
      </w:numPr>
      <w:suppressAutoHyphens w:val="true"/>
      <w:spacing w:before="140" w:after="0"/>
      <w:outlineLvl w:val="2"/>
    </w:pPr>
    <w:rPr>
      <w:rFonts w:ascii="Liberation Serif" w:hAnsi="Liberation Serif" w:eastAsia="NSimSun"/>
      <w:b/>
      <w:bCs/>
    </w:rPr>
  </w:style>
  <w:style w:type="paragraph" w:styleId="Heading4">
    <w:name w:val="Heading 4"/>
    <w:basedOn w:val="Nagwek"/>
    <w:next w:val="BodyText"/>
    <w:qFormat/>
    <w:pPr>
      <w:numPr>
        <w:ilvl w:val="3"/>
        <w:numId w:val="1"/>
      </w:numPr>
      <w:suppressAutoHyphens w:val="true"/>
      <w:spacing w:before="120" w:after="0"/>
      <w:outlineLvl w:val="3"/>
    </w:pPr>
    <w:rPr>
      <w:rFonts w:ascii="Liberation Serif" w:hAnsi="Liberation Serif" w:eastAsia="NSimSun"/>
      <w:b/>
      <w:bCs/>
      <w:sz w:val="24"/>
      <w:szCs w:val="24"/>
    </w:rPr>
  </w:style>
  <w:style w:type="character" w:styleId="Domylnaczcionkaakapitu">
    <w:name w:val="Domyślna czcionka akapitu"/>
    <w:qFormat/>
    <w:rPr/>
  </w:style>
  <w:style w:type="character" w:styleId="Strong">
    <w:name w:val="Strong"/>
    <w:qFormat/>
    <w:rPr>
      <w:b/>
      <w:bCs/>
    </w:rPr>
  </w:style>
  <w:style w:type="character" w:styleId="Znakiwypunktowania">
    <w:name w:val="Znaki wypunktowania"/>
    <w:qFormat/>
    <w:rPr>
      <w:rFonts w:ascii="OpenSymbol" w:hAnsi="OpenSymbol" w:eastAsia="OpenSymbol" w:cs="OpenSymbol"/>
    </w:rPr>
  </w:style>
  <w:style w:type="character" w:styleId="Znakinumeracji">
    <w:name w:val="Znaki numeracji"/>
    <w:qFormat/>
    <w:rPr/>
  </w:style>
  <w:style w:type="character" w:styleId="Uwydatnienie">
    <w:name w:val="Uwydatnienie"/>
    <w:qFormat/>
    <w:rPr>
      <w:i/>
      <w:iCs/>
    </w:rPr>
  </w:style>
  <w:style w:type="character" w:styleId="Pogrubienie">
    <w:name w:val="Pogrubienie"/>
    <w:basedOn w:val="Domylnaczcionkaakapitu"/>
    <w:qFormat/>
    <w:rPr>
      <w:b/>
      <w:bCs/>
    </w:rPr>
  </w:style>
  <w:style w:type="character" w:styleId="WWCharLFO1LVL1">
    <w:name w:val="WW_CharLFO1LVL1"/>
    <w:qFormat/>
    <w:rPr>
      <w:rFonts w:ascii="OpenSymbol" w:hAnsi="OpenSymbol" w:eastAsia="OpenSymbol" w:cs="OpenSymbol"/>
    </w:rPr>
  </w:style>
  <w:style w:type="character" w:styleId="WWCharLFO1LVL2">
    <w:name w:val="WW_CharLFO1LVL2"/>
    <w:qFormat/>
    <w:rPr>
      <w:rFonts w:ascii="OpenSymbol" w:hAnsi="OpenSymbol" w:eastAsia="OpenSymbol" w:cs="OpenSymbol"/>
    </w:rPr>
  </w:style>
  <w:style w:type="character" w:styleId="WWCharLFO1LVL3">
    <w:name w:val="WW_CharLFO1LVL3"/>
    <w:qFormat/>
    <w:rPr>
      <w:rFonts w:ascii="OpenSymbol" w:hAnsi="OpenSymbol" w:eastAsia="OpenSymbol" w:cs="OpenSymbol"/>
    </w:rPr>
  </w:style>
  <w:style w:type="character" w:styleId="WWCharLFO1LVL4">
    <w:name w:val="WW_CharLFO1LVL4"/>
    <w:qFormat/>
    <w:rPr>
      <w:rFonts w:ascii="OpenSymbol" w:hAnsi="OpenSymbol" w:eastAsia="OpenSymbol" w:cs="OpenSymbol"/>
    </w:rPr>
  </w:style>
  <w:style w:type="character" w:styleId="WWCharLFO1LVL5">
    <w:name w:val="WW_CharLFO1LVL5"/>
    <w:qFormat/>
    <w:rPr>
      <w:rFonts w:ascii="OpenSymbol" w:hAnsi="OpenSymbol" w:eastAsia="OpenSymbol" w:cs="OpenSymbol"/>
    </w:rPr>
  </w:style>
  <w:style w:type="character" w:styleId="WWCharLFO1LVL6">
    <w:name w:val="WW_CharLFO1LVL6"/>
    <w:qFormat/>
    <w:rPr>
      <w:rFonts w:ascii="OpenSymbol" w:hAnsi="OpenSymbol" w:eastAsia="OpenSymbol" w:cs="OpenSymbol"/>
    </w:rPr>
  </w:style>
  <w:style w:type="character" w:styleId="WWCharLFO1LVL7">
    <w:name w:val="WW_CharLFO1LVL7"/>
    <w:qFormat/>
    <w:rPr>
      <w:rFonts w:ascii="OpenSymbol" w:hAnsi="OpenSymbol" w:eastAsia="OpenSymbol" w:cs="OpenSymbol"/>
    </w:rPr>
  </w:style>
  <w:style w:type="character" w:styleId="WWCharLFO1LVL8">
    <w:name w:val="WW_CharLFO1LVL8"/>
    <w:qFormat/>
    <w:rPr>
      <w:rFonts w:ascii="OpenSymbol" w:hAnsi="OpenSymbol" w:eastAsia="OpenSymbol" w:cs="OpenSymbol"/>
    </w:rPr>
  </w:style>
  <w:style w:type="character" w:styleId="WWCharLFO1LVL9">
    <w:name w:val="WW_CharLFO1LVL9"/>
    <w:qFormat/>
    <w:rPr>
      <w:rFonts w:ascii="OpenSymbol" w:hAnsi="OpenSymbol" w:eastAsia="OpenSymbol" w:cs="OpenSymbol"/>
    </w:rPr>
  </w:style>
  <w:style w:type="character" w:styleId="WWCharLFO2LVL2">
    <w:name w:val="WW_CharLFO2LVL2"/>
    <w:qFormat/>
    <w:rPr>
      <w:rFonts w:ascii="OpenSymbol" w:hAnsi="OpenSymbol" w:eastAsia="OpenSymbol" w:cs="OpenSymbol"/>
    </w:rPr>
  </w:style>
  <w:style w:type="character" w:styleId="WWCharLFO2LVL3">
    <w:name w:val="WW_CharLFO2LVL3"/>
    <w:qFormat/>
    <w:rPr>
      <w:rFonts w:ascii="OpenSymbol" w:hAnsi="OpenSymbol" w:eastAsia="OpenSymbol" w:cs="OpenSymbol"/>
    </w:rPr>
  </w:style>
  <w:style w:type="character" w:styleId="WWCharLFO2LVL4">
    <w:name w:val="WW_CharLFO2LVL4"/>
    <w:qFormat/>
    <w:rPr>
      <w:rFonts w:ascii="OpenSymbol" w:hAnsi="OpenSymbol" w:eastAsia="OpenSymbol" w:cs="OpenSymbol"/>
    </w:rPr>
  </w:style>
  <w:style w:type="character" w:styleId="WWCharLFO2LVL5">
    <w:name w:val="WW_CharLFO2LVL5"/>
    <w:qFormat/>
    <w:rPr>
      <w:rFonts w:ascii="OpenSymbol" w:hAnsi="OpenSymbol" w:eastAsia="OpenSymbol" w:cs="OpenSymbol"/>
    </w:rPr>
  </w:style>
  <w:style w:type="character" w:styleId="WWCharLFO2LVL6">
    <w:name w:val="WW_CharLFO2LVL6"/>
    <w:qFormat/>
    <w:rPr>
      <w:rFonts w:ascii="OpenSymbol" w:hAnsi="OpenSymbol" w:eastAsia="OpenSymbol" w:cs="OpenSymbol"/>
    </w:rPr>
  </w:style>
  <w:style w:type="character" w:styleId="WWCharLFO2LVL7">
    <w:name w:val="WW_CharLFO2LVL7"/>
    <w:qFormat/>
    <w:rPr>
      <w:rFonts w:ascii="OpenSymbol" w:hAnsi="OpenSymbol" w:eastAsia="OpenSymbol" w:cs="OpenSymbol"/>
    </w:rPr>
  </w:style>
  <w:style w:type="character" w:styleId="WWCharLFO2LVL8">
    <w:name w:val="WW_CharLFO2LVL8"/>
    <w:qFormat/>
    <w:rPr>
      <w:rFonts w:ascii="OpenSymbol" w:hAnsi="OpenSymbol" w:eastAsia="OpenSymbol" w:cs="OpenSymbol"/>
    </w:rPr>
  </w:style>
  <w:style w:type="character" w:styleId="WWCharLFO2LVL9">
    <w:name w:val="WW_CharLFO2LVL9"/>
    <w:qFormat/>
    <w:rPr>
      <w:rFonts w:ascii="OpenSymbol" w:hAnsi="OpenSymbol" w:eastAsia="OpenSymbol" w:cs="OpenSymbol"/>
    </w:rPr>
  </w:style>
  <w:style w:type="character" w:styleId="WWCharLFO3LVL1">
    <w:name w:val="WW_CharLFO3LVL1"/>
    <w:qFormat/>
    <w:rPr>
      <w:rFonts w:ascii="OpenSymbol" w:hAnsi="OpenSymbol" w:eastAsia="OpenSymbol" w:cs="OpenSymbol"/>
    </w:rPr>
  </w:style>
  <w:style w:type="character" w:styleId="WWCharLFO3LVL2">
    <w:name w:val="WW_CharLFO3LVL2"/>
    <w:qFormat/>
    <w:rPr>
      <w:rFonts w:ascii="OpenSymbol" w:hAnsi="OpenSymbol" w:eastAsia="OpenSymbol" w:cs="OpenSymbol"/>
    </w:rPr>
  </w:style>
  <w:style w:type="character" w:styleId="WWCharLFO3LVL3">
    <w:name w:val="WW_CharLFO3LVL3"/>
    <w:qFormat/>
    <w:rPr>
      <w:rFonts w:ascii="OpenSymbol" w:hAnsi="OpenSymbol" w:eastAsia="OpenSymbol" w:cs="OpenSymbol"/>
    </w:rPr>
  </w:style>
  <w:style w:type="character" w:styleId="WWCharLFO3LVL4">
    <w:name w:val="WW_CharLFO3LVL4"/>
    <w:qFormat/>
    <w:rPr>
      <w:rFonts w:ascii="OpenSymbol" w:hAnsi="OpenSymbol" w:eastAsia="OpenSymbol" w:cs="OpenSymbol"/>
    </w:rPr>
  </w:style>
  <w:style w:type="character" w:styleId="WWCharLFO3LVL5">
    <w:name w:val="WW_CharLFO3LVL5"/>
    <w:qFormat/>
    <w:rPr>
      <w:rFonts w:ascii="OpenSymbol" w:hAnsi="OpenSymbol" w:eastAsia="OpenSymbol" w:cs="OpenSymbol"/>
    </w:rPr>
  </w:style>
  <w:style w:type="character" w:styleId="WWCharLFO3LVL6">
    <w:name w:val="WW_CharLFO3LVL6"/>
    <w:qFormat/>
    <w:rPr>
      <w:rFonts w:ascii="OpenSymbol" w:hAnsi="OpenSymbol" w:eastAsia="OpenSymbol" w:cs="OpenSymbol"/>
    </w:rPr>
  </w:style>
  <w:style w:type="character" w:styleId="WWCharLFO3LVL7">
    <w:name w:val="WW_CharLFO3LVL7"/>
    <w:qFormat/>
    <w:rPr>
      <w:rFonts w:ascii="OpenSymbol" w:hAnsi="OpenSymbol" w:eastAsia="OpenSymbol" w:cs="OpenSymbol"/>
    </w:rPr>
  </w:style>
  <w:style w:type="character" w:styleId="WWCharLFO3LVL8">
    <w:name w:val="WW_CharLFO3LVL8"/>
    <w:qFormat/>
    <w:rPr>
      <w:rFonts w:ascii="OpenSymbol" w:hAnsi="OpenSymbol" w:eastAsia="OpenSymbol" w:cs="OpenSymbol"/>
    </w:rPr>
  </w:style>
  <w:style w:type="character" w:styleId="WWCharLFO3LVL9">
    <w:name w:val="WW_CharLFO3LVL9"/>
    <w:qFormat/>
    <w:rPr>
      <w:rFonts w:ascii="OpenSymbol" w:hAnsi="OpenSymbol" w:eastAsia="OpenSymbol" w:cs="OpenSymbol"/>
    </w:rPr>
  </w:style>
  <w:style w:type="character" w:styleId="WWCharLFO4LVL1">
    <w:name w:val="WW_CharLFO4LVL1"/>
    <w:qFormat/>
    <w:rPr>
      <w:rFonts w:ascii="OpenSymbol" w:hAnsi="OpenSymbol" w:eastAsia="OpenSymbol" w:cs="OpenSymbol"/>
    </w:rPr>
  </w:style>
  <w:style w:type="character" w:styleId="WWCharLFO4LVL2">
    <w:name w:val="WW_CharLFO4LVL2"/>
    <w:qFormat/>
    <w:rPr>
      <w:rFonts w:ascii="OpenSymbol" w:hAnsi="OpenSymbol" w:eastAsia="OpenSymbol" w:cs="OpenSymbol"/>
    </w:rPr>
  </w:style>
  <w:style w:type="character" w:styleId="WWCharLFO4LVL3">
    <w:name w:val="WW_CharLFO4LVL3"/>
    <w:qFormat/>
    <w:rPr>
      <w:rFonts w:ascii="OpenSymbol" w:hAnsi="OpenSymbol" w:eastAsia="OpenSymbol" w:cs="OpenSymbol"/>
    </w:rPr>
  </w:style>
  <w:style w:type="character" w:styleId="WWCharLFO4LVL4">
    <w:name w:val="WW_CharLFO4LVL4"/>
    <w:qFormat/>
    <w:rPr>
      <w:rFonts w:ascii="OpenSymbol" w:hAnsi="OpenSymbol" w:eastAsia="OpenSymbol" w:cs="OpenSymbol"/>
    </w:rPr>
  </w:style>
  <w:style w:type="character" w:styleId="WWCharLFO4LVL5">
    <w:name w:val="WW_CharLFO4LVL5"/>
    <w:qFormat/>
    <w:rPr>
      <w:rFonts w:ascii="OpenSymbol" w:hAnsi="OpenSymbol" w:eastAsia="OpenSymbol" w:cs="OpenSymbol"/>
    </w:rPr>
  </w:style>
  <w:style w:type="character" w:styleId="WWCharLFO4LVL6">
    <w:name w:val="WW_CharLFO4LVL6"/>
    <w:qFormat/>
    <w:rPr>
      <w:rFonts w:ascii="OpenSymbol" w:hAnsi="OpenSymbol" w:eastAsia="OpenSymbol" w:cs="OpenSymbol"/>
    </w:rPr>
  </w:style>
  <w:style w:type="character" w:styleId="WWCharLFO4LVL7">
    <w:name w:val="WW_CharLFO4LVL7"/>
    <w:qFormat/>
    <w:rPr>
      <w:rFonts w:ascii="OpenSymbol" w:hAnsi="OpenSymbol" w:eastAsia="OpenSymbol" w:cs="OpenSymbol"/>
    </w:rPr>
  </w:style>
  <w:style w:type="character" w:styleId="WWCharLFO4LVL8">
    <w:name w:val="WW_CharLFO4LVL8"/>
    <w:qFormat/>
    <w:rPr>
      <w:rFonts w:ascii="OpenSymbol" w:hAnsi="OpenSymbol" w:eastAsia="OpenSymbol" w:cs="OpenSymbol"/>
    </w:rPr>
  </w:style>
  <w:style w:type="character" w:styleId="WWCharLFO4LVL9">
    <w:name w:val="WW_CharLFO4LVL9"/>
    <w:qFormat/>
    <w:rPr>
      <w:rFonts w:ascii="OpenSymbol" w:hAnsi="OpenSymbol" w:eastAsia="OpenSymbol" w:cs="OpenSymbol"/>
    </w:rPr>
  </w:style>
  <w:style w:type="character" w:styleId="WWCharLFO5LVL1">
    <w:name w:val="WW_CharLFO5LVL1"/>
    <w:qFormat/>
    <w:rPr>
      <w:rFonts w:ascii="OpenSymbol" w:hAnsi="OpenSymbol" w:eastAsia="OpenSymbol" w:cs="OpenSymbol"/>
    </w:rPr>
  </w:style>
  <w:style w:type="character" w:styleId="WWCharLFO5LVL2">
    <w:name w:val="WW_CharLFO5LVL2"/>
    <w:qFormat/>
    <w:rPr>
      <w:rFonts w:ascii="OpenSymbol" w:hAnsi="OpenSymbol" w:eastAsia="OpenSymbol" w:cs="OpenSymbol"/>
    </w:rPr>
  </w:style>
  <w:style w:type="character" w:styleId="WWCharLFO5LVL3">
    <w:name w:val="WW_CharLFO5LVL3"/>
    <w:qFormat/>
    <w:rPr>
      <w:rFonts w:ascii="OpenSymbol" w:hAnsi="OpenSymbol" w:eastAsia="OpenSymbol" w:cs="OpenSymbol"/>
    </w:rPr>
  </w:style>
  <w:style w:type="character" w:styleId="WWCharLFO5LVL4">
    <w:name w:val="WW_CharLFO5LVL4"/>
    <w:qFormat/>
    <w:rPr>
      <w:rFonts w:ascii="OpenSymbol" w:hAnsi="OpenSymbol" w:eastAsia="OpenSymbol" w:cs="OpenSymbol"/>
    </w:rPr>
  </w:style>
  <w:style w:type="character" w:styleId="WWCharLFO5LVL5">
    <w:name w:val="WW_CharLFO5LVL5"/>
    <w:qFormat/>
    <w:rPr>
      <w:rFonts w:ascii="OpenSymbol" w:hAnsi="OpenSymbol" w:eastAsia="OpenSymbol" w:cs="OpenSymbol"/>
    </w:rPr>
  </w:style>
  <w:style w:type="character" w:styleId="WWCharLFO5LVL6">
    <w:name w:val="WW_CharLFO5LVL6"/>
    <w:qFormat/>
    <w:rPr>
      <w:rFonts w:ascii="OpenSymbol" w:hAnsi="OpenSymbol" w:eastAsia="OpenSymbol" w:cs="OpenSymbol"/>
    </w:rPr>
  </w:style>
  <w:style w:type="character" w:styleId="WWCharLFO5LVL7">
    <w:name w:val="WW_CharLFO5LVL7"/>
    <w:qFormat/>
    <w:rPr>
      <w:rFonts w:ascii="OpenSymbol" w:hAnsi="OpenSymbol" w:eastAsia="OpenSymbol" w:cs="OpenSymbol"/>
    </w:rPr>
  </w:style>
  <w:style w:type="character" w:styleId="WWCharLFO5LVL8">
    <w:name w:val="WW_CharLFO5LVL8"/>
    <w:qFormat/>
    <w:rPr>
      <w:rFonts w:ascii="OpenSymbol" w:hAnsi="OpenSymbol" w:eastAsia="OpenSymbol" w:cs="OpenSymbol"/>
    </w:rPr>
  </w:style>
  <w:style w:type="character" w:styleId="WWCharLFO5LVL9">
    <w:name w:val="WW_CharLFO5LVL9"/>
    <w:qFormat/>
    <w:rPr>
      <w:rFonts w:ascii="OpenSymbol" w:hAnsi="OpenSymbol" w:eastAsia="OpenSymbol" w:cs="OpenSymbol"/>
    </w:rPr>
  </w:style>
  <w:style w:type="character" w:styleId="WWCharLFO6LVL2">
    <w:name w:val="WW_CharLFO6LVL2"/>
    <w:qFormat/>
    <w:rPr>
      <w:rFonts w:ascii="OpenSymbol" w:hAnsi="OpenSymbol" w:eastAsia="OpenSymbol" w:cs="OpenSymbol"/>
    </w:rPr>
  </w:style>
  <w:style w:type="character" w:styleId="WWCharLFO6LVL3">
    <w:name w:val="WW_CharLFO6LVL3"/>
    <w:qFormat/>
    <w:rPr>
      <w:rFonts w:ascii="OpenSymbol" w:hAnsi="OpenSymbol" w:eastAsia="OpenSymbol" w:cs="OpenSymbol"/>
    </w:rPr>
  </w:style>
  <w:style w:type="character" w:styleId="WWCharLFO6LVL4">
    <w:name w:val="WW_CharLFO6LVL4"/>
    <w:qFormat/>
    <w:rPr>
      <w:rFonts w:ascii="OpenSymbol" w:hAnsi="OpenSymbol" w:eastAsia="OpenSymbol" w:cs="OpenSymbol"/>
    </w:rPr>
  </w:style>
  <w:style w:type="character" w:styleId="WWCharLFO6LVL5">
    <w:name w:val="WW_CharLFO6LVL5"/>
    <w:qFormat/>
    <w:rPr>
      <w:rFonts w:ascii="OpenSymbol" w:hAnsi="OpenSymbol" w:eastAsia="OpenSymbol" w:cs="OpenSymbol"/>
    </w:rPr>
  </w:style>
  <w:style w:type="character" w:styleId="WWCharLFO6LVL6">
    <w:name w:val="WW_CharLFO6LVL6"/>
    <w:qFormat/>
    <w:rPr>
      <w:rFonts w:ascii="OpenSymbol" w:hAnsi="OpenSymbol" w:eastAsia="OpenSymbol" w:cs="OpenSymbol"/>
    </w:rPr>
  </w:style>
  <w:style w:type="character" w:styleId="WWCharLFO6LVL7">
    <w:name w:val="WW_CharLFO6LVL7"/>
    <w:qFormat/>
    <w:rPr>
      <w:rFonts w:ascii="OpenSymbol" w:hAnsi="OpenSymbol" w:eastAsia="OpenSymbol" w:cs="OpenSymbol"/>
    </w:rPr>
  </w:style>
  <w:style w:type="character" w:styleId="WWCharLFO6LVL8">
    <w:name w:val="WW_CharLFO6LVL8"/>
    <w:qFormat/>
    <w:rPr>
      <w:rFonts w:ascii="OpenSymbol" w:hAnsi="OpenSymbol" w:eastAsia="OpenSymbol" w:cs="OpenSymbol"/>
    </w:rPr>
  </w:style>
  <w:style w:type="character" w:styleId="WWCharLFO6LVL9">
    <w:name w:val="WW_CharLFO6LVL9"/>
    <w:qFormat/>
    <w:rPr>
      <w:rFonts w:ascii="OpenSymbol" w:hAnsi="OpenSymbol" w:eastAsia="OpenSymbol" w:cs="OpenSymbol"/>
    </w:rPr>
  </w:style>
  <w:style w:type="character" w:styleId="WWCharLFO7LVL1">
    <w:name w:val="WW_CharLFO7LVL1"/>
    <w:qFormat/>
    <w:rPr>
      <w:rFonts w:ascii="OpenSymbol" w:hAnsi="OpenSymbol" w:eastAsia="OpenSymbol" w:cs="OpenSymbol"/>
    </w:rPr>
  </w:style>
  <w:style w:type="character" w:styleId="WWCharLFO7LVL2">
    <w:name w:val="WW_CharLFO7LVL2"/>
    <w:qFormat/>
    <w:rPr>
      <w:rFonts w:ascii="OpenSymbol" w:hAnsi="OpenSymbol" w:eastAsia="OpenSymbol" w:cs="OpenSymbol"/>
    </w:rPr>
  </w:style>
  <w:style w:type="character" w:styleId="WWCharLFO7LVL3">
    <w:name w:val="WW_CharLFO7LVL3"/>
    <w:qFormat/>
    <w:rPr>
      <w:rFonts w:ascii="OpenSymbol" w:hAnsi="OpenSymbol" w:eastAsia="OpenSymbol" w:cs="OpenSymbol"/>
    </w:rPr>
  </w:style>
  <w:style w:type="character" w:styleId="WWCharLFO7LVL4">
    <w:name w:val="WW_CharLFO7LVL4"/>
    <w:qFormat/>
    <w:rPr>
      <w:rFonts w:ascii="OpenSymbol" w:hAnsi="OpenSymbol" w:eastAsia="OpenSymbol" w:cs="OpenSymbol"/>
    </w:rPr>
  </w:style>
  <w:style w:type="character" w:styleId="WWCharLFO7LVL5">
    <w:name w:val="WW_CharLFO7LVL5"/>
    <w:qFormat/>
    <w:rPr>
      <w:rFonts w:ascii="OpenSymbol" w:hAnsi="OpenSymbol" w:eastAsia="OpenSymbol" w:cs="OpenSymbol"/>
    </w:rPr>
  </w:style>
  <w:style w:type="character" w:styleId="WWCharLFO7LVL6">
    <w:name w:val="WW_CharLFO7LVL6"/>
    <w:qFormat/>
    <w:rPr>
      <w:rFonts w:ascii="OpenSymbol" w:hAnsi="OpenSymbol" w:eastAsia="OpenSymbol" w:cs="OpenSymbol"/>
    </w:rPr>
  </w:style>
  <w:style w:type="character" w:styleId="WWCharLFO7LVL7">
    <w:name w:val="WW_CharLFO7LVL7"/>
    <w:qFormat/>
    <w:rPr>
      <w:rFonts w:ascii="OpenSymbol" w:hAnsi="OpenSymbol" w:eastAsia="OpenSymbol" w:cs="OpenSymbol"/>
    </w:rPr>
  </w:style>
  <w:style w:type="character" w:styleId="WWCharLFO7LVL8">
    <w:name w:val="WW_CharLFO7LVL8"/>
    <w:qFormat/>
    <w:rPr>
      <w:rFonts w:ascii="OpenSymbol" w:hAnsi="OpenSymbol" w:eastAsia="OpenSymbol" w:cs="OpenSymbol"/>
    </w:rPr>
  </w:style>
  <w:style w:type="character" w:styleId="WWCharLFO7LVL9">
    <w:name w:val="WW_CharLFO7LVL9"/>
    <w:qFormat/>
    <w:rPr>
      <w:rFonts w:ascii="OpenSymbol" w:hAnsi="OpenSymbol" w:eastAsia="OpenSymbol" w:cs="OpenSymbol"/>
    </w:rPr>
  </w:style>
  <w:style w:type="character" w:styleId="WWCharLFO8LVL1">
    <w:name w:val="WW_CharLFO8LVL1"/>
    <w:qFormat/>
    <w:rPr>
      <w:rFonts w:ascii="OpenSymbol" w:hAnsi="OpenSymbol" w:eastAsia="OpenSymbol" w:cs="OpenSymbol"/>
    </w:rPr>
  </w:style>
  <w:style w:type="character" w:styleId="WWCharLFO8LVL2">
    <w:name w:val="WW_CharLFO8LVL2"/>
    <w:qFormat/>
    <w:rPr>
      <w:rFonts w:ascii="OpenSymbol" w:hAnsi="OpenSymbol" w:eastAsia="OpenSymbol" w:cs="OpenSymbol"/>
    </w:rPr>
  </w:style>
  <w:style w:type="character" w:styleId="WWCharLFO8LVL3">
    <w:name w:val="WW_CharLFO8LVL3"/>
    <w:qFormat/>
    <w:rPr>
      <w:rFonts w:ascii="OpenSymbol" w:hAnsi="OpenSymbol" w:eastAsia="OpenSymbol" w:cs="OpenSymbol"/>
    </w:rPr>
  </w:style>
  <w:style w:type="character" w:styleId="WWCharLFO8LVL4">
    <w:name w:val="WW_CharLFO8LVL4"/>
    <w:qFormat/>
    <w:rPr>
      <w:rFonts w:ascii="OpenSymbol" w:hAnsi="OpenSymbol" w:eastAsia="OpenSymbol" w:cs="OpenSymbol"/>
    </w:rPr>
  </w:style>
  <w:style w:type="character" w:styleId="WWCharLFO8LVL5">
    <w:name w:val="WW_CharLFO8LVL5"/>
    <w:qFormat/>
    <w:rPr>
      <w:rFonts w:ascii="OpenSymbol" w:hAnsi="OpenSymbol" w:eastAsia="OpenSymbol" w:cs="OpenSymbol"/>
    </w:rPr>
  </w:style>
  <w:style w:type="character" w:styleId="WWCharLFO8LVL6">
    <w:name w:val="WW_CharLFO8LVL6"/>
    <w:qFormat/>
    <w:rPr>
      <w:rFonts w:ascii="OpenSymbol" w:hAnsi="OpenSymbol" w:eastAsia="OpenSymbol" w:cs="OpenSymbol"/>
    </w:rPr>
  </w:style>
  <w:style w:type="character" w:styleId="WWCharLFO8LVL7">
    <w:name w:val="WW_CharLFO8LVL7"/>
    <w:qFormat/>
    <w:rPr>
      <w:rFonts w:ascii="OpenSymbol" w:hAnsi="OpenSymbol" w:eastAsia="OpenSymbol" w:cs="OpenSymbol"/>
    </w:rPr>
  </w:style>
  <w:style w:type="character" w:styleId="WWCharLFO8LVL8">
    <w:name w:val="WW_CharLFO8LVL8"/>
    <w:qFormat/>
    <w:rPr>
      <w:rFonts w:ascii="OpenSymbol" w:hAnsi="OpenSymbol" w:eastAsia="OpenSymbol" w:cs="OpenSymbol"/>
    </w:rPr>
  </w:style>
  <w:style w:type="character" w:styleId="WWCharLFO8LVL9">
    <w:name w:val="WW_CharLFO8LVL9"/>
    <w:qFormat/>
    <w:rPr>
      <w:rFonts w:ascii="OpenSymbol" w:hAnsi="OpenSymbol" w:eastAsia="OpenSymbol" w:cs="OpenSymbol"/>
    </w:rPr>
  </w:style>
  <w:style w:type="character" w:styleId="WWCharLFO9LVL1">
    <w:name w:val="WW_CharLFO9LVL1"/>
    <w:qFormat/>
    <w:rPr>
      <w:rFonts w:ascii="OpenSymbol" w:hAnsi="OpenSymbol" w:eastAsia="OpenSymbol" w:cs="OpenSymbol"/>
    </w:rPr>
  </w:style>
  <w:style w:type="character" w:styleId="WWCharLFO9LVL2">
    <w:name w:val="WW_CharLFO9LVL2"/>
    <w:qFormat/>
    <w:rPr>
      <w:rFonts w:ascii="OpenSymbol" w:hAnsi="OpenSymbol" w:eastAsia="OpenSymbol" w:cs="OpenSymbol"/>
    </w:rPr>
  </w:style>
  <w:style w:type="character" w:styleId="WWCharLFO9LVL3">
    <w:name w:val="WW_CharLFO9LVL3"/>
    <w:qFormat/>
    <w:rPr>
      <w:rFonts w:ascii="OpenSymbol" w:hAnsi="OpenSymbol" w:eastAsia="OpenSymbol" w:cs="OpenSymbol"/>
    </w:rPr>
  </w:style>
  <w:style w:type="character" w:styleId="WWCharLFO9LVL4">
    <w:name w:val="WW_CharLFO9LVL4"/>
    <w:qFormat/>
    <w:rPr>
      <w:rFonts w:ascii="OpenSymbol" w:hAnsi="OpenSymbol" w:eastAsia="OpenSymbol" w:cs="OpenSymbol"/>
    </w:rPr>
  </w:style>
  <w:style w:type="character" w:styleId="WWCharLFO9LVL5">
    <w:name w:val="WW_CharLFO9LVL5"/>
    <w:qFormat/>
    <w:rPr>
      <w:rFonts w:ascii="OpenSymbol" w:hAnsi="OpenSymbol" w:eastAsia="OpenSymbol" w:cs="OpenSymbol"/>
    </w:rPr>
  </w:style>
  <w:style w:type="character" w:styleId="WWCharLFO9LVL6">
    <w:name w:val="WW_CharLFO9LVL6"/>
    <w:qFormat/>
    <w:rPr>
      <w:rFonts w:ascii="OpenSymbol" w:hAnsi="OpenSymbol" w:eastAsia="OpenSymbol" w:cs="OpenSymbol"/>
    </w:rPr>
  </w:style>
  <w:style w:type="character" w:styleId="WWCharLFO9LVL7">
    <w:name w:val="WW_CharLFO9LVL7"/>
    <w:qFormat/>
    <w:rPr>
      <w:rFonts w:ascii="OpenSymbol" w:hAnsi="OpenSymbol" w:eastAsia="OpenSymbol" w:cs="OpenSymbol"/>
    </w:rPr>
  </w:style>
  <w:style w:type="character" w:styleId="WWCharLFO9LVL8">
    <w:name w:val="WW_CharLFO9LVL8"/>
    <w:qFormat/>
    <w:rPr>
      <w:rFonts w:ascii="OpenSymbol" w:hAnsi="OpenSymbol" w:eastAsia="OpenSymbol" w:cs="OpenSymbol"/>
    </w:rPr>
  </w:style>
  <w:style w:type="character" w:styleId="WWCharLFO9LVL9">
    <w:name w:val="WW_CharLFO9LVL9"/>
    <w:qFormat/>
    <w:rPr>
      <w:rFonts w:ascii="OpenSymbol" w:hAnsi="OpenSymbol" w:eastAsia="OpenSymbol" w:cs="OpenSymbol"/>
    </w:rPr>
  </w:style>
  <w:style w:type="paragraph" w:styleId="Nagwek">
    <w:name w:val="Nagłówek"/>
    <w:basedOn w:val="Normal"/>
    <w:next w:val="BodyText"/>
    <w:qFormat/>
    <w:pPr>
      <w:keepNext w:val="true"/>
      <w:suppressAutoHyphens w:val="true"/>
      <w:spacing w:before="240" w:after="120"/>
    </w:pPr>
    <w:rPr>
      <w:rFonts w:ascii="Liberation Sans" w:hAnsi="Liberation Sans" w:eastAsia="Microsoft YaHei"/>
      <w:sz w:val="28"/>
      <w:szCs w:val="28"/>
    </w:rPr>
  </w:style>
  <w:style w:type="paragraph" w:styleId="BodyText">
    <w:name w:val="Body Text"/>
    <w:basedOn w:val="Normal"/>
    <w:pPr>
      <w:suppressAutoHyphens w:val="true"/>
      <w:spacing w:lineRule="auto" w:line="276" w:before="0" w:after="140"/>
    </w:pPr>
    <w:rPr/>
  </w:style>
  <w:style w:type="paragraph" w:styleId="Normalny">
    <w:name w:val="Normalny"/>
    <w:qFormat/>
    <w:pPr>
      <w:keepNext w:val="false"/>
      <w:keepLines w:val="false"/>
      <w:pageBreakBefore w:val="false"/>
      <w:widowControl/>
      <w:pBdr/>
      <w:shd w:fill="auto" w:val="clear"/>
      <w:suppressAutoHyphens w:val="true"/>
      <w:kinsoku w:val="true"/>
      <w:overflowPunct w:val="true"/>
      <w:autoSpaceDE w:val="true"/>
      <w:bidi w:val="0"/>
      <w:snapToGrid w:val="true"/>
      <w:spacing w:lineRule="auto" w:line="240"/>
      <w:jc w:val="left"/>
      <w:textAlignment w:val="baseline"/>
    </w:pPr>
    <w:rPr>
      <w:rFonts w:ascii="Liberation Serif" w:hAnsi="Liberation Serif" w:eastAsia="NSimSun" w:cs="Arial"/>
      <w:b w:val="false"/>
      <w:bCs w:val="false"/>
      <w:i w:val="false"/>
      <w:iCs w:val="false"/>
      <w:caps w:val="false"/>
      <w:smallCaps w:val="false"/>
      <w:strike w:val="false"/>
      <w:dstrike w:val="false"/>
      <w:outline w:val="false"/>
      <w:emboss w:val="false"/>
      <w:imprint w:val="false"/>
      <w:color w:val="auto"/>
      <w:spacing w:val="0"/>
      <w:w w:val="100"/>
      <w:kern w:val="2"/>
      <w:position w:val="0"/>
      <w:sz w:val="24"/>
      <w:sz w:val="24"/>
      <w:szCs w:val="24"/>
      <w:u w:val="none"/>
      <w:shd w:fill="auto" w:val="clear"/>
      <w:vertAlign w:val="baseline"/>
      <w:em w:val="none"/>
      <w:lang w:val="pl-PL" w:eastAsia="zh-CN" w:bidi="hi-IN"/>
    </w:rPr>
  </w:style>
  <w:style w:type="paragraph" w:styleId="List">
    <w:name w:val="List"/>
    <w:basedOn w:val="BodyText"/>
    <w:pPr>
      <w:suppressAutoHyphens w:val="true"/>
    </w:pPr>
    <w:rPr/>
  </w:style>
  <w:style w:type="paragraph" w:styleId="Legenda">
    <w:name w:val="Legenda"/>
    <w:basedOn w:val="Normal"/>
    <w:qFormat/>
    <w:pPr>
      <w:suppressLineNumbers/>
      <w:suppressAutoHyphens w:val="true"/>
      <w:spacing w:before="120" w:after="120"/>
    </w:pPr>
    <w:rPr>
      <w:i/>
      <w:iCs/>
    </w:rPr>
  </w:style>
  <w:style w:type="paragraph" w:styleId="Indeks">
    <w:name w:val="Indeks"/>
    <w:basedOn w:val="Normal"/>
    <w:qFormat/>
    <w:pPr>
      <w:suppressLineNumbers/>
      <w:suppressAutoHyphens w:val="true"/>
    </w:pPr>
    <w:rPr/>
  </w:style>
  <w:style w:type="paragraph" w:styleId="Liniapozioma">
    <w:name w:val="Linia pozioma"/>
    <w:basedOn w:val="Normal"/>
    <w:next w:val="BodyText"/>
    <w:qFormat/>
    <w:pPr>
      <w:suppressLineNumbers/>
      <w:suppressAutoHyphens w:val="true"/>
      <w:spacing w:before="0" w:after="283"/>
    </w:pPr>
    <w:rPr>
      <w:sz w:val="12"/>
      <w:szCs w:val="12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jpeg"/><Relationship Id="rId4" Type="http://schemas.openxmlformats.org/officeDocument/2006/relationships/image" Target="media/image3.png"/><Relationship Id="rId5" Type="http://schemas.openxmlformats.org/officeDocument/2006/relationships/image" Target="media/image4.jpeg"/><Relationship Id="rId6" Type="http://schemas.openxmlformats.org/officeDocument/2006/relationships/numbering" Target="numbering.xml"/><Relationship Id="rId7" Type="http://schemas.openxmlformats.org/officeDocument/2006/relationships/fontTable" Target="fontTable.xml"/><Relationship Id="rId8" Type="http://schemas.openxmlformats.org/officeDocument/2006/relationships/settings" Target="settings.xml"/><Relationship Id="rId9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xmlns:r="http://schemas.openxmlformats.org/officeDocument/2006/relationships" name="Office">
  <a:themeElements>
    <a:clrScheme name="LibreOffice">
      <a:dk1>
        <a:srgbClr val="000000"/>
      </a:dk1>
      <a:lt1>
        <a:srgbClr val="ffffff"/>
      </a:lt1>
      <a:dk2>
        <a:srgbClr val="000000"/>
      </a:dk2>
      <a:lt2>
        <a:srgbClr val="ffffff"/>
      </a:lt2>
      <a:accent1>
        <a:srgbClr val="18a303"/>
      </a:accent1>
      <a:accent2>
        <a:srgbClr val="0369a3"/>
      </a:accent2>
      <a:accent3>
        <a:srgbClr val="a33e03"/>
      </a:accent3>
      <a:accent4>
        <a:srgbClr val="8e03a3"/>
      </a:accent4>
      <a:accent5>
        <a:srgbClr val="c99c00"/>
      </a:accent5>
      <a:accent6>
        <a:srgbClr val="c9211e"/>
      </a:accent6>
      <a:hlink>
        <a:srgbClr val="0000ee"/>
      </a:hlink>
      <a:folHlink>
        <a:srgbClr val="551a8b"/>
      </a:folHlink>
    </a:clrScheme>
    <a:fontScheme name="Office">
      <a:majorFont>
        <a:latin typeface="Arial" pitchFamily="0" charset="1"/>
        <a:ea typeface="DejaVu Sans" pitchFamily="0" charset="1"/>
        <a:cs typeface="DejaVu Sans" pitchFamily="0" charset="1"/>
      </a:majorFont>
      <a:minorFont>
        <a:latin typeface="Arial" pitchFamily="0" charset="1"/>
        <a:ea typeface="DejaVu Sans" pitchFamily="0" charset="1"/>
        <a:cs typeface="DejaVu Sans" pitchFamily="0" charset="1"/>
      </a:minorFont>
    </a:fontScheme>
    <a:fmtScheme>
      <a:fillStyleLst>
        <a:solidFill>
          <a:schemeClr val="phClr"/>
        </a:solidFill>
        <a:solidFill>
          <a:schemeClr val="phClr"/>
        </a:solidFill>
        <a:solidFill>
          <a:schemeClr val="phClr"/>
        </a:solidFill>
      </a:fillStyleLst>
      <a:lnStyleLst>
        <a:ln w="6350" cap="flat" cmpd="sng" algn="ctr">
          <a:prstDash val="solid"/>
          <a:miter/>
        </a:ln>
        <a:ln w="6350" cap="flat" cmpd="sng" algn="ctr">
          <a:prstDash val="solid"/>
          <a:miter/>
        </a:ln>
        <a:ln w="6350" cap="flat" cmpd="sng" algn="ctr">
          <a:prstDash val="solid"/>
          <a:miter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/>
        </a:solidFill>
        <a:solidFill>
          <a:schemeClr val="phClr"/>
        </a:solidFill>
      </a:bgFillStyleLst>
    </a:fmtScheme>
  </a:themeElements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23</TotalTime>
  <Application>LibreOffice/7.6.6.3$Windows_X86_64 LibreOffice_project/d97b2716a9a4a2ce1391dee1765565ea469b0ae7</Application>
  <AppVersion>15.0000</AppVersion>
  <Pages>7</Pages>
  <Words>762</Words>
  <Characters>5705</Characters>
  <CharactersWithSpaces>6353</CharactersWithSpaces>
  <Paragraphs>74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2025-11-04T09:23:00Z</dcterms:created>
  <dc:creator>Rafał Niemiec</dc:creator>
  <dc:description/>
  <dc:language>pl-PL</dc:language>
  <cp:lastModifiedBy/>
  <dcterms:modified xsi:type="dcterms:W3CDTF">2025-11-04T13:02:32Z</dcterms:modified>
  <cp:revision>6</cp:revision>
  <dc:subject/>
  <dc:title/>
</cp:coreProperties>
</file>